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AVRF questionnaire, scoring sheet and the Pellbrook worked example</w:t>
      </w:r>
    </w:p>
    <w:p>
      <w:pPr>
        <w:pStyle w:val="Author"/>
      </w:pPr>
      <w:r>
        <w:t xml:space="preserve">Dr. Nabeel A. Khan</w:t>
      </w:r>
    </w:p>
    <w:bookmarkStart w:id="30" w:name="Xfeaf38fd08f2856456cd21cbbe201d3c6a62cca"/>
    <w:p>
      <w:pPr>
        <w:pStyle w:val="Heading1"/>
      </w:pPr>
      <w:r>
        <w:t xml:space="preserve">The AI Vendor Risk Framework (AVRF)™ questionnaire, scoring sheet and the Pellbrook worked example</w:t>
      </w:r>
    </w:p>
    <w:p>
      <w:pPr>
        <w:pStyle w:val="FirstParagraph"/>
      </w:pPr>
      <w:r>
        <w:rPr>
          <w:i/>
          <w:iCs/>
        </w:rPr>
        <w:t xml:space="preserve">From OSFI E-23 for AI Systems by Dr. Nabeel A. Khan (iSystematic Inc., 2026). Version 1.0, 6 October 2026. nabeelkhan.com/e-23/vendor-assessment</w:t>
      </w:r>
    </w:p>
    <w:p>
      <w:pPr>
        <w:pStyle w:val="BodyText"/>
      </w:pPr>
      <w:r>
        <w:t xml:space="preserve">Chapter 9 of</w:t>
      </w:r>
      <w:r>
        <w:t xml:space="preserve"> </w:t>
      </w:r>
      <w:r>
        <w:rPr>
          <w:i/>
          <w:iCs/>
        </w:rPr>
        <w:t xml:space="preserve">OSFI E-23 for AI Systems</w:t>
      </w:r>
      <w:r>
        <w:t xml:space="preserve">. The scoring sheet, the gate decision, the residual-risk record and the minimum record are set out in Chapter 9. The questionnaire is the deposited instrument, reproduced from its deposit without change. This file is a convenience, and the method is in the text.</w:t>
      </w:r>
    </w:p>
    <w:p>
      <w:pPr>
        <w:pStyle w:val="BodyText"/>
      </w:pPr>
      <w:r>
        <w:t xml:space="preserve">Conformance with any framework named here is self-declared. OSFI does not endorse, approve or recommend this book or its templates.</w:t>
      </w:r>
    </w:p>
    <w:p>
      <w:pPr>
        <w:pStyle w:val="BodyText"/>
      </w:pPr>
      <w:r>
        <w:rPr>
          <w:b/>
          <w:bCs/>
        </w:rPr>
        <w:t xml:space="preserve">How to read the Basis column.</w:t>
      </w:r>
      <w:r>
        <w:t xml:space="preserve"> </w:t>
      </w:r>
      <w:r>
        <w:t xml:space="preserve">"E-23" or "B-10" with a ledger row means the guideline states it, as Chapter 9 cites it. "AVRF" means the deposited questionnaire specification states it. "The discipline's" means the book's method chose it, not the guideline.</w:t>
      </w:r>
    </w:p>
    <w:p>
      <w:pPr>
        <w:pStyle w:val="BodyText"/>
      </w:pPr>
      <w:r>
        <w:rPr>
          <w:b/>
          <w:bCs/>
        </w:rPr>
        <w:t xml:space="preserve">Where this sits.</w:t>
      </w:r>
      <w:r>
        <w:t xml:space="preserve"> </w:t>
      </w:r>
      <w:r>
        <w:t xml:space="preserve">For the model it did not build, the discipline uses AVRF, which governs AI risk entering the institution through a third party in five stages: classify, diligence, contract, monitor and exit. The questionnaire is AVRF's diligence stage. Wherever a component is third-party, the Five-Gate Deployment Model™ makes vendor clearance an entry criterion at G1 and contractual controls in force an entry criterion at G4 (Chapter 9).</w:t>
      </w:r>
    </w:p>
    <w:p>
      <w:pPr>
        <w:pStyle w:val="BodyText"/>
      </w:pPr>
      <w:r>
        <w:rPr>
          <w:b/>
          <w:bCs/>
        </w:rPr>
        <w:t xml:space="preserve">What E-23 and B-10 say.</w:t>
      </w:r>
      <w:r>
        <w:t xml:space="preserve"> </w:t>
      </w:r>
      <w:r>
        <w:t xml:space="preserve">The MRM framework "covers models or data sourced from external sources like foreign offices or third-party vendors (pursuant to our Guideline B-10 Third-Party Risk Management Guideline)". OSFI's letter says that "third-party models receive validation and monitoring commensurate to the model risk", that no grace period was incorporated, and that an institution may "establish an exceptions policy under which models can be used for limited and specific applications prior to the completion of validation". B-10 states that "the FRFI retains accountability for business activities, functions and services outsourced to a third party". OSFI made no revision to accommodate unwilling vendors: "It is up to each institution to ensure adequate documentation is provided by vendors to satisfy model risk management needs."</w:t>
      </w:r>
    </w:p>
    <w:bookmarkStart w:id="12" w:name="part-a.-classify-and-record-the-response"/>
    <w:p>
      <w:pPr>
        <w:pStyle w:val="Heading2"/>
      </w:pPr>
      <w:r>
        <w:t xml:space="preserve">Part A. Classify, and record the response</w:t>
      </w:r>
    </w:p>
    <w:bookmarkStart w:id="9" w:name="a.1-vendor-criticality"/>
    <w:p>
      <w:pPr>
        <w:pStyle w:val="Heading3"/>
      </w:pPr>
      <w:r>
        <w:t xml:space="preserve">A.1 Vendor criticality</w:t>
      </w:r>
    </w:p>
    <w:p>
      <w:pPr>
        <w:pStyle w:val="FirstParagraph"/>
      </w:pPr>
      <w:r>
        <w:t xml:space="preserve">Under AVRF, vendor criticality is set by three things together (Chapter 9).</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Factor</w:t>
            </w:r>
          </w:p>
        </w:tc>
        <w:tc>
          <w:tcPr/>
          <w:p>
            <w:pPr>
              <w:pStyle w:val="Compact"/>
            </w:pPr>
            <w:r>
              <w:t xml:space="preserve">Basis</w:t>
            </w:r>
          </w:p>
        </w:tc>
        <w:tc>
          <w:tcPr/>
          <w:p>
            <w:pPr>
              <w:pStyle w:val="Compact"/>
            </w:pPr>
            <w:r>
              <w:t xml:space="preserve">Entry</w:t>
            </w:r>
          </w:p>
        </w:tc>
      </w:tr>
      <w:tr>
        <w:tc>
          <w:tcPr/>
          <w:p>
            <w:pPr>
              <w:pStyle w:val="Compact"/>
            </w:pPr>
            <w:r>
              <w:t xml:space="preserve">A1</w:t>
            </w:r>
          </w:p>
        </w:tc>
        <w:tc>
          <w:tcPr/>
          <w:p>
            <w:pPr>
              <w:pStyle w:val="Compact"/>
            </w:pPr>
            <w:r>
              <w:t xml:space="preserve">Business criticality</w:t>
            </w:r>
          </w:p>
        </w:tc>
        <w:tc>
          <w:tcPr/>
          <w:p>
            <w:pPr>
              <w:pStyle w:val="Compact"/>
            </w:pPr>
            <w:r>
              <w:t xml:space="preserve">AVRF (Chapter 9)</w:t>
            </w:r>
          </w:p>
        </w:tc>
        <w:tc>
          <w:tcPr/>
          <w:p>
            <w:pPr>
              <w:pStyle w:val="Compact"/>
            </w:pPr>
          </w:p>
        </w:tc>
      </w:tr>
      <w:tr>
        <w:tc>
          <w:tcPr/>
          <w:p>
            <w:pPr>
              <w:pStyle w:val="Compact"/>
            </w:pPr>
            <w:r>
              <w:t xml:space="preserve">A2</w:t>
            </w:r>
          </w:p>
        </w:tc>
        <w:tc>
          <w:tcPr/>
          <w:p>
            <w:pPr>
              <w:pStyle w:val="Compact"/>
            </w:pPr>
            <w:r>
              <w:t xml:space="preserve">Data exposure</w:t>
            </w:r>
          </w:p>
        </w:tc>
        <w:tc>
          <w:tcPr/>
          <w:p>
            <w:pPr>
              <w:pStyle w:val="Compact"/>
            </w:pPr>
            <w:r>
              <w:t xml:space="preserve">AVRF (Chapter 9)</w:t>
            </w:r>
          </w:p>
        </w:tc>
        <w:tc>
          <w:tcPr/>
          <w:p>
            <w:pPr>
              <w:pStyle w:val="Compact"/>
            </w:pPr>
          </w:p>
        </w:tc>
      </w:tr>
      <w:tr>
        <w:tc>
          <w:tcPr/>
          <w:p>
            <w:pPr>
              <w:pStyle w:val="Compact"/>
            </w:pPr>
            <w:r>
              <w:t xml:space="preserve">A3</w:t>
            </w:r>
          </w:p>
        </w:tc>
        <w:tc>
          <w:tcPr/>
          <w:p>
            <w:pPr>
              <w:pStyle w:val="Compact"/>
            </w:pPr>
            <w:r>
              <w:t xml:space="preserve">The autonomy the vendor's AI holds over institutional decisions</w:t>
            </w:r>
          </w:p>
        </w:tc>
        <w:tc>
          <w:tcPr/>
          <w:p>
            <w:pPr>
              <w:pStyle w:val="Compact"/>
            </w:pPr>
            <w:r>
              <w:t xml:space="preserve">AVRF (Chapter 9)</w:t>
            </w:r>
          </w:p>
        </w:tc>
        <w:tc>
          <w:tcPr/>
          <w:p>
            <w:pPr>
              <w:pStyle w:val="Compact"/>
            </w:pPr>
          </w:p>
        </w:tc>
      </w:tr>
    </w:tbl>
    <w:bookmarkEnd w:id="9"/>
    <w:bookmarkStart w:id="10" w:name="a.2-capability-class"/>
    <w:p>
      <w:pPr>
        <w:pStyle w:val="Heading3"/>
      </w:pPr>
      <w:r>
        <w:t xml:space="preserve">A.2 Capability class</w:t>
      </w:r>
    </w:p>
    <w:p>
      <w:pPr>
        <w:pStyle w:val="FirstParagraph"/>
      </w:pPr>
      <w:r>
        <w:t xml:space="preserve">Reproduced from the deposited specification, Section 2.2. The book's rule follows it: where any doubt exists, classify in the most demanding class, and issue every question in every applicable section; add questions if you must, but remove none (Chapter 9).</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Class</w:t>
            </w:r>
          </w:p>
        </w:tc>
        <w:tc>
          <w:tcPr/>
          <w:p>
            <w:pPr>
              <w:pStyle w:val="Compact"/>
            </w:pPr>
            <w:r>
              <w:t xml:space="preserve">Description</w:t>
            </w:r>
          </w:p>
        </w:tc>
        <w:tc>
          <w:tcPr/>
          <w:p>
            <w:pPr>
              <w:pStyle w:val="Compact"/>
            </w:pPr>
            <w:r>
              <w:t xml:space="preserve">Required sections</w:t>
            </w:r>
          </w:p>
        </w:tc>
      </w:tr>
      <w:tr>
        <w:tc>
          <w:tcPr/>
          <w:p>
            <w:pPr>
              <w:pStyle w:val="Compact"/>
            </w:pPr>
            <w:r>
              <w:rPr>
                <w:b/>
                <w:bCs/>
              </w:rPr>
              <w:t xml:space="preserve">C1</w:t>
            </w:r>
          </w:p>
        </w:tc>
        <w:tc>
          <w:tcPr/>
          <w:p>
            <w:pPr>
              <w:pStyle w:val="Compact"/>
            </w:pPr>
            <w:r>
              <w:t xml:space="preserve">The capability influences a decision about a person, or processes personal or otherwise restricted data</w:t>
            </w:r>
          </w:p>
        </w:tc>
        <w:tc>
          <w:tcPr/>
          <w:p>
            <w:pPr>
              <w:pStyle w:val="Compact"/>
            </w:pPr>
            <w:r>
              <w:t xml:space="preserve">All seven</w:t>
            </w:r>
          </w:p>
        </w:tc>
      </w:tr>
      <w:tr>
        <w:tc>
          <w:tcPr/>
          <w:p>
            <w:pPr>
              <w:pStyle w:val="Compact"/>
            </w:pPr>
            <w:r>
              <w:rPr>
                <w:b/>
                <w:bCs/>
              </w:rPr>
              <w:t xml:space="preserve">C2</w:t>
            </w:r>
          </w:p>
        </w:tc>
        <w:tc>
          <w:tcPr/>
          <w:p>
            <w:pPr>
              <w:pStyle w:val="Compact"/>
            </w:pPr>
            <w:r>
              <w:t xml:space="preserve">The capability is used in production and neither condition of C1 holds</w:t>
            </w:r>
          </w:p>
        </w:tc>
        <w:tc>
          <w:tcPr/>
          <w:p>
            <w:pPr>
              <w:pStyle w:val="Compact"/>
            </w:pPr>
            <w:r>
              <w:t xml:space="preserve">A, B, C, D, F, G</w:t>
            </w:r>
          </w:p>
        </w:tc>
      </w:tr>
      <w:tr>
        <w:tc>
          <w:tcPr/>
          <w:p>
            <w:pPr>
              <w:pStyle w:val="Compact"/>
            </w:pPr>
            <w:r>
              <w:rPr>
                <w:b/>
                <w:bCs/>
              </w:rPr>
              <w:t xml:space="preserve">C3</w:t>
            </w:r>
          </w:p>
        </w:tc>
        <w:tc>
          <w:tcPr/>
          <w:p>
            <w:pPr>
              <w:pStyle w:val="Compact"/>
            </w:pPr>
            <w:r>
              <w:t xml:space="preserve">The capability is evaluative, internal, and not in a production decision path</w:t>
            </w:r>
          </w:p>
        </w:tc>
        <w:tc>
          <w:tcPr/>
          <w:p>
            <w:pPr>
              <w:pStyle w:val="Compact"/>
            </w:pPr>
            <w:r>
              <w:t xml:space="preserve">A, C, D, F</w:t>
            </w:r>
          </w:p>
        </w:tc>
      </w:tr>
    </w:tbl>
    <w:p>
      <w:pPr>
        <w:pStyle w:val="BodyText"/>
      </w:pPr>
      <w:r>
        <w:t xml:space="preserve">"A capability MUST be classified C1 where any doubt exists." (Section 2.2)</w:t>
      </w:r>
    </w:p>
    <w:bookmarkEnd w:id="10"/>
    <w:bookmarkStart w:id="11" w:name="a.3-the-response-record"/>
    <w:p>
      <w:pPr>
        <w:pStyle w:val="Heading3"/>
      </w:pPr>
      <w:r>
        <w:t xml:space="preserve">A.3 The response record</w:t>
      </w:r>
    </w:p>
    <w:p>
      <w:pPr>
        <w:pStyle w:val="FirstParagraph"/>
      </w:pPr>
      <w:r>
        <w:t xml:space="preserve">A response carries all of the following (the deposited specification, Section 5).</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A4</w:t>
            </w:r>
          </w:p>
        </w:tc>
        <w:tc>
          <w:tcPr/>
          <w:p>
            <w:pPr>
              <w:pStyle w:val="Compact"/>
            </w:pPr>
            <w:r>
              <w:t xml:space="preserve">The questionnaire version answered against</w:t>
            </w:r>
          </w:p>
        </w:tc>
        <w:tc>
          <w:tcPr/>
          <w:p>
            <w:pPr>
              <w:pStyle w:val="Compact"/>
            </w:pPr>
            <w:r>
              <w:t xml:space="preserve">AVRF, Section 5</w:t>
            </w:r>
          </w:p>
        </w:tc>
        <w:tc>
          <w:tcPr/>
          <w:p>
            <w:pPr>
              <w:pStyle w:val="Compact"/>
            </w:pPr>
          </w:p>
        </w:tc>
      </w:tr>
      <w:tr>
        <w:tc>
          <w:tcPr/>
          <w:p>
            <w:pPr>
              <w:pStyle w:val="Compact"/>
            </w:pPr>
            <w:r>
              <w:t xml:space="preserve">A5</w:t>
            </w:r>
          </w:p>
        </w:tc>
        <w:tc>
          <w:tcPr/>
          <w:p>
            <w:pPr>
              <w:pStyle w:val="Compact"/>
            </w:pPr>
            <w:r>
              <w:t xml:space="preserve">The vendor</w:t>
            </w:r>
          </w:p>
        </w:tc>
        <w:tc>
          <w:tcPr/>
          <w:p>
            <w:pPr>
              <w:pStyle w:val="Compact"/>
            </w:pPr>
            <w:r>
              <w:t xml:space="preserve">AVRF, Section 5</w:t>
            </w:r>
          </w:p>
        </w:tc>
        <w:tc>
          <w:tcPr/>
          <w:p>
            <w:pPr>
              <w:pStyle w:val="Compact"/>
            </w:pPr>
          </w:p>
        </w:tc>
      </w:tr>
      <w:tr>
        <w:tc>
          <w:tcPr/>
          <w:p>
            <w:pPr>
              <w:pStyle w:val="Compact"/>
            </w:pPr>
            <w:r>
              <w:t xml:space="preserve">A6</w:t>
            </w:r>
          </w:p>
        </w:tc>
        <w:tc>
          <w:tcPr/>
          <w:p>
            <w:pPr>
              <w:pStyle w:val="Compact"/>
            </w:pPr>
            <w:r>
              <w:t xml:space="preserve">The capability, identified as in A1 of the questionnaire</w:t>
            </w:r>
          </w:p>
        </w:tc>
        <w:tc>
          <w:tcPr/>
          <w:p>
            <w:pPr>
              <w:pStyle w:val="Compact"/>
            </w:pPr>
            <w:r>
              <w:t xml:space="preserve">AVRF, Section 5</w:t>
            </w:r>
          </w:p>
        </w:tc>
        <w:tc>
          <w:tcPr/>
          <w:p>
            <w:pPr>
              <w:pStyle w:val="Compact"/>
            </w:pPr>
          </w:p>
        </w:tc>
      </w:tr>
      <w:tr>
        <w:tc>
          <w:tcPr/>
          <w:p>
            <w:pPr>
              <w:pStyle w:val="Compact"/>
            </w:pPr>
            <w:r>
              <w:t xml:space="preserve">A7</w:t>
            </w:r>
          </w:p>
        </w:tc>
        <w:tc>
          <w:tcPr/>
          <w:p>
            <w:pPr>
              <w:pStyle w:val="Compact"/>
            </w:pPr>
            <w:r>
              <w:t xml:space="preserve">The classification under Section 2.2</w:t>
            </w:r>
          </w:p>
        </w:tc>
        <w:tc>
          <w:tcPr/>
          <w:p>
            <w:pPr>
              <w:pStyle w:val="Compact"/>
            </w:pPr>
            <w:r>
              <w:t xml:space="preserve">AVRF, Section 5</w:t>
            </w:r>
          </w:p>
        </w:tc>
        <w:tc>
          <w:tcPr/>
          <w:p>
            <w:pPr>
              <w:pStyle w:val="Compact"/>
            </w:pPr>
          </w:p>
        </w:tc>
      </w:tr>
      <w:tr>
        <w:tc>
          <w:tcPr/>
          <w:p>
            <w:pPr>
              <w:pStyle w:val="Compact"/>
            </w:pPr>
            <w:r>
              <w:t xml:space="preserve">A8</w:t>
            </w:r>
          </w:p>
        </w:tc>
        <w:tc>
          <w:tcPr/>
          <w:p>
            <w:pPr>
              <w:pStyle w:val="Compact"/>
            </w:pPr>
            <w:r>
              <w:t xml:space="preserve">Which sections were issued</w:t>
            </w:r>
          </w:p>
        </w:tc>
        <w:tc>
          <w:tcPr/>
          <w:p>
            <w:pPr>
              <w:pStyle w:val="Compact"/>
            </w:pPr>
            <w:r>
              <w:t xml:space="preserve">AVRF, Section 5</w:t>
            </w:r>
          </w:p>
        </w:tc>
        <w:tc>
          <w:tcPr/>
          <w:p>
            <w:pPr>
              <w:pStyle w:val="Compact"/>
            </w:pPr>
          </w:p>
        </w:tc>
      </w:tr>
      <w:tr>
        <w:tc>
          <w:tcPr/>
          <w:p>
            <w:pPr>
              <w:pStyle w:val="Compact"/>
            </w:pPr>
            <w:r>
              <w:t xml:space="preserve">A9</w:t>
            </w:r>
          </w:p>
        </w:tc>
        <w:tc>
          <w:tcPr/>
          <w:p>
            <w:pPr>
              <w:pStyle w:val="Compact"/>
            </w:pPr>
            <w:r>
              <w:t xml:space="preserve">The date the response was received</w:t>
            </w:r>
          </w:p>
        </w:tc>
        <w:tc>
          <w:tcPr/>
          <w:p>
            <w:pPr>
              <w:pStyle w:val="Compact"/>
            </w:pPr>
            <w:r>
              <w:t xml:space="preserve">AVRF, Section 5</w:t>
            </w:r>
          </w:p>
        </w:tc>
        <w:tc>
          <w:tcPr/>
          <w:p>
            <w:pPr>
              <w:pStyle w:val="Compact"/>
            </w:pPr>
          </w:p>
        </w:tc>
      </w:tr>
      <w:tr>
        <w:tc>
          <w:tcPr/>
          <w:p>
            <w:pPr>
              <w:pStyle w:val="Compact"/>
            </w:pPr>
            <w:r>
              <w:t xml:space="preserve">A10</w:t>
            </w:r>
          </w:p>
        </w:tc>
        <w:tc>
          <w:tcPr/>
          <w:p>
            <w:pPr>
              <w:pStyle w:val="Compact"/>
            </w:pPr>
            <w:r>
              <w:t xml:space="preserve">The name of the person at the institution who received and reviewed the response</w:t>
            </w:r>
          </w:p>
        </w:tc>
        <w:tc>
          <w:tcPr/>
          <w:p>
            <w:pPr>
              <w:pStyle w:val="Compact"/>
            </w:pPr>
            <w:r>
              <w:t xml:space="preserve">AVRF, Section 5</w:t>
            </w:r>
          </w:p>
        </w:tc>
        <w:tc>
          <w:tcPr/>
          <w:p>
            <w:pPr>
              <w:pStyle w:val="Compact"/>
            </w:pPr>
          </w:p>
        </w:tc>
      </w:tr>
    </w:tbl>
    <w:p>
      <w:pPr>
        <w:pStyle w:val="BodyText"/>
      </w:pPr>
      <w:r>
        <w:t xml:space="preserve">Per question, the response records the answer, whether the stated evidence was supplied, and where the evidence is held (Section 5); those are the response columns in Part B.</w:t>
      </w:r>
    </w:p>
    <w:bookmarkEnd w:id="11"/>
    <w:bookmarkEnd w:id="12"/>
    <w:bookmarkStart w:id="20" w:name="part-b.-the-questionnaire"/>
    <w:p>
      <w:pPr>
        <w:pStyle w:val="Heading2"/>
      </w:pPr>
      <w:r>
        <w:t xml:space="preserve">Part B. The questionnaire</w:t>
      </w:r>
    </w:p>
    <w:p>
      <w:pPr>
        <w:pStyle w:val="FirstParagraph"/>
      </w:pPr>
      <w:r>
        <w:rPr>
          <w:b/>
          <w:bCs/>
        </w:rPr>
        <w:t xml:space="preserve">Attribution.</w:t>
      </w:r>
      <w:r>
        <w:t xml:space="preserve"> </w:t>
      </w:r>
      <w:r>
        <w:t xml:space="preserve">This part reproduces Section 4 of</w:t>
      </w:r>
      <w:r>
        <w:t xml:space="preserve"> </w:t>
      </w:r>
      <w:r>
        <w:rPr>
          <w:i/>
          <w:iCs/>
        </w:rPr>
        <w:t xml:space="preserve">The AI Vendor Due-Diligence Questionnaire: AVRF Instrument for Third-Party AI Systems, Models and APIs</w:t>
      </w:r>
      <w:r>
        <w:t xml:space="preserve">, Questionnaire Specification, Version 1.0, by Nabeel Khan, Zenodo, https://doi.org/10.5281/zenodo.22170146, licensed under the Creative Commons Attribution 4.0 International license (CC BY 4.0), https://creativecommons.org/licenses/by/4.0/. The question identifiers, questions, answer formats and evidence expectations are reproduced without change and in the deposit's own spelling. The response columns to the right of them have been added, following the deposit's Sections 3.4 and 5. The license grants no rights in the marks. The concept DOI always resolves to the latest version; this reproduction is of Version 1.0.</w:t>
      </w:r>
    </w:p>
    <w:p>
      <w:pPr>
        <w:pStyle w:val="BodyText"/>
      </w:pPr>
      <w:r>
        <w:rPr>
          <w:b/>
          <w:bCs/>
        </w:rPr>
        <w:t xml:space="preserve">Four outcomes, and one rule.</w:t>
      </w:r>
      <w:r>
        <w:t xml:space="preserve"> </w:t>
      </w:r>
      <w:r>
        <w:t xml:space="preserve">Four outcomes are permitted for any question: an answer, an assertion, a decline with a stated reason, or not applicable with a stated reason. A decline is never silently converted into a blank, because "A pattern of declines is itself a finding, and it is invisible if declines are erased." The instrument's central discipline is one line of bookkeeping: "An answer supplied without its stated evidence MUST be recorded as an assertion, and MUST NOT be recorded as a finding." And "A statement by the vendor is not evidence of itself." (Chapter 9, quoting the deposit)</w:t>
      </w:r>
    </w:p>
    <w:p>
      <w:pPr>
        <w:pStyle w:val="BodyText"/>
      </w:pPr>
      <w:r>
        <w:rPr>
          <w:b/>
          <w:bCs/>
        </w:rPr>
        <w:t xml:space="preserve">Response columns.</w:t>
      </w:r>
      <w:r>
        <w:t xml:space="preserve"> </w:t>
      </w:r>
      <w:r>
        <w:t xml:space="preserve">Outcome: answered, asserted, declined or not-applicable. Evidence supplied: yes or no. Reason: required for declined and not-applicable. Value: the scoring value of Part C (Satisfied, Asserted, Open, or excluded where not applicable).</w:t>
      </w:r>
    </w:p>
    <w:bookmarkStart w:id="13" w:name="Xf08df192f87ba24b5ac247a572deaf2bcc0cd64"/>
    <w:p>
      <w:pPr>
        <w:pStyle w:val="Heading3"/>
      </w:pPr>
      <w:r>
        <w:t xml:space="preserve">Section A. Provenance and identity (8 questions)</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pPr>
            <w:r>
              <w:t xml:space="preserve">ID</w:t>
            </w:r>
          </w:p>
        </w:tc>
        <w:tc>
          <w:tcPr/>
          <w:p>
            <w:pPr>
              <w:pStyle w:val="Compact"/>
            </w:pPr>
            <w:r>
              <w:t xml:space="preserve">Question</w:t>
            </w:r>
          </w:p>
        </w:tc>
        <w:tc>
          <w:tcPr/>
          <w:p>
            <w:pPr>
              <w:pStyle w:val="Compact"/>
            </w:pPr>
            <w:r>
              <w:t xml:space="preserve">Answer format</w:t>
            </w:r>
          </w:p>
        </w:tc>
        <w:tc>
          <w:tcPr/>
          <w:p>
            <w:pPr>
              <w:pStyle w:val="Compact"/>
            </w:pPr>
            <w:r>
              <w:t xml:space="preserve">Evidence expected</w:t>
            </w:r>
          </w:p>
        </w:tc>
        <w:tc>
          <w:tcPr/>
          <w:p>
            <w:pPr>
              <w:pStyle w:val="Compact"/>
            </w:pPr>
            <w:r>
              <w:t xml:space="preserve">Outcome</w:t>
            </w:r>
          </w:p>
        </w:tc>
        <w:tc>
          <w:tcPr/>
          <w:p>
            <w:pPr>
              <w:pStyle w:val="Compact"/>
            </w:pPr>
            <w:r>
              <w:t xml:space="preserve">Answer</w:t>
            </w:r>
          </w:p>
        </w:tc>
        <w:tc>
          <w:tcPr/>
          <w:p>
            <w:pPr>
              <w:pStyle w:val="Compact"/>
            </w:pPr>
            <w:r>
              <w:t xml:space="preserve">Evidence supplied</w:t>
            </w:r>
          </w:p>
        </w:tc>
        <w:tc>
          <w:tcPr/>
          <w:p>
            <w:pPr>
              <w:pStyle w:val="Compact"/>
            </w:pPr>
            <w:r>
              <w:t xml:space="preserve">Where the evidence is held</w:t>
            </w:r>
          </w:p>
        </w:tc>
        <w:tc>
          <w:tcPr/>
          <w:p>
            <w:pPr>
              <w:pStyle w:val="Compact"/>
            </w:pPr>
            <w:r>
              <w:t xml:space="preserve">Reason</w:t>
            </w:r>
          </w:p>
        </w:tc>
        <w:tc>
          <w:tcPr/>
          <w:p>
            <w:pPr>
              <w:pStyle w:val="Compact"/>
            </w:pPr>
            <w:r>
              <w:t xml:space="preserve">Value</w:t>
            </w:r>
          </w:p>
        </w:tc>
      </w:tr>
      <w:tr>
        <w:tc>
          <w:tcPr/>
          <w:p>
            <w:pPr>
              <w:pStyle w:val="Compact"/>
            </w:pPr>
            <w:r>
              <w:rPr>
                <w:b/>
                <w:bCs/>
              </w:rPr>
              <w:t xml:space="preserve">A1</w:t>
            </w:r>
          </w:p>
        </w:tc>
        <w:tc>
          <w:tcPr/>
          <w:p>
            <w:pPr>
              <w:pStyle w:val="Compact"/>
            </w:pPr>
            <w:r>
              <w:t xml:space="preserve">What is the name and version identifier of the AI capability being supplied?</w:t>
            </w:r>
          </w:p>
        </w:tc>
        <w:tc>
          <w:tcPr/>
          <w:p>
            <w:pPr>
              <w:pStyle w:val="Compact"/>
            </w:pPr>
            <w:r>
              <w:rPr>
                <w:rStyle w:val="VerbatimChar"/>
              </w:rPr>
              <w:t xml:space="preserve">free-text</w:t>
            </w:r>
          </w:p>
        </w:tc>
        <w:tc>
          <w:tcPr/>
          <w:p>
            <w:pPr>
              <w:pStyle w:val="Compact"/>
            </w:pPr>
            <w:r>
              <w:t xml:space="preserve">Product documentation naming the version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A2</w:t>
            </w:r>
          </w:p>
        </w:tc>
        <w:tc>
          <w:tcPr/>
          <w:p>
            <w:pPr>
              <w:pStyle w:val="Compact"/>
            </w:pPr>
            <w:r>
              <w:t xml:space="preserve">Is the underlying model developed by you, licensed from a third party, or an open-weights model you host?</w:t>
            </w:r>
          </w:p>
        </w:tc>
        <w:tc>
          <w:tcPr/>
          <w:p>
            <w:pPr>
              <w:pStyle w:val="Compact"/>
            </w:pPr>
            <w:r>
              <w:rPr>
                <w:rStyle w:val="VerbatimChar"/>
              </w:rPr>
              <w:t xml:space="preserve">single-select</w:t>
            </w:r>
            <w:r>
              <w:t xml:space="preserve">: developed / licensed / open-weights / mixed / not-disclosed</w:t>
            </w:r>
          </w:p>
        </w:tc>
        <w:tc>
          <w:tcPr/>
          <w:p>
            <w:pPr>
              <w:pStyle w:val="Compact"/>
            </w:pPr>
            <w:r>
              <w:t xml:space="preserve">Documentation or licence naming the model source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A3</w:t>
            </w:r>
          </w:p>
        </w:tc>
        <w:tc>
          <w:tcPr/>
          <w:p>
            <w:pPr>
              <w:pStyle w:val="Compact"/>
            </w:pPr>
            <w:r>
              <w:t xml:space="preserve">If licensed or open-weights, name the model and the provider.</w:t>
            </w:r>
          </w:p>
        </w:tc>
        <w:tc>
          <w:tcPr/>
          <w:p>
            <w:pPr>
              <w:pStyle w:val="Compact"/>
            </w:pPr>
            <w:r>
              <w:rPr>
                <w:rStyle w:val="VerbatimChar"/>
              </w:rPr>
              <w:t xml:space="preserve">free-text</w:t>
            </w:r>
          </w:p>
        </w:tc>
        <w:tc>
          <w:tcPr/>
          <w:p>
            <w:pPr>
              <w:pStyle w:val="Compact"/>
            </w:pPr>
            <w:r>
              <w:t xml:space="preserve">The licence or provider agreement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A4</w:t>
            </w:r>
          </w:p>
        </w:tc>
        <w:tc>
          <w:tcPr/>
          <w:p>
            <w:pPr>
              <w:pStyle w:val="Compact"/>
            </w:pPr>
            <w:r>
              <w:t xml:space="preserve">Where is inference performed, by jurisdiction?</w:t>
            </w:r>
          </w:p>
        </w:tc>
        <w:tc>
          <w:tcPr/>
          <w:p>
            <w:pPr>
              <w:pStyle w:val="Compact"/>
            </w:pPr>
            <w:r>
              <w:rPr>
                <w:rStyle w:val="VerbatimChar"/>
              </w:rPr>
              <w:t xml:space="preserve">multi-select</w:t>
            </w:r>
            <w:r>
              <w:t xml:space="preserve">: named jurisdictions</w:t>
            </w:r>
          </w:p>
        </w:tc>
        <w:tc>
          <w:tcPr/>
          <w:p>
            <w:pPr>
              <w:pStyle w:val="Compact"/>
            </w:pPr>
            <w:r>
              <w:t xml:space="preserve">Architecture or hosting documentation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A5</w:t>
            </w:r>
          </w:p>
        </w:tc>
        <w:tc>
          <w:tcPr/>
          <w:p>
            <w:pPr>
              <w:pStyle w:val="Compact"/>
            </w:pPr>
            <w:r>
              <w:t xml:space="preserve">Can the capability be operated without any data leaving a named jurisdiction?</w:t>
            </w:r>
          </w:p>
        </w:tc>
        <w:tc>
          <w:tcPr/>
          <w:p>
            <w:pPr>
              <w:pStyle w:val="Compact"/>
            </w:pPr>
            <w:r>
              <w:rPr>
                <w:rStyle w:val="VerbatimChar"/>
              </w:rPr>
              <w:t xml:space="preserve">yes-no-evidence</w:t>
            </w:r>
          </w:p>
        </w:tc>
        <w:tc>
          <w:tcPr/>
          <w:p>
            <w:pPr>
              <w:pStyle w:val="Compact"/>
            </w:pPr>
            <w:r>
              <w:t xml:space="preserve">A deployment option description or configuration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A6</w:t>
            </w:r>
          </w:p>
        </w:tc>
        <w:tc>
          <w:tcPr/>
          <w:p>
            <w:pPr>
              <w:pStyle w:val="Compact"/>
            </w:pPr>
            <w:r>
              <w:t xml:space="preserve">Do you retain customer inputs or outputs, and for how long?</w:t>
            </w:r>
          </w:p>
        </w:tc>
        <w:tc>
          <w:tcPr/>
          <w:p>
            <w:pPr>
              <w:pStyle w:val="Compact"/>
            </w:pPr>
            <w:r>
              <w:rPr>
                <w:rStyle w:val="VerbatimChar"/>
              </w:rPr>
              <w:t xml:space="preserve">free-text</w:t>
            </w:r>
          </w:p>
        </w:tc>
        <w:tc>
          <w:tcPr/>
          <w:p>
            <w:pPr>
              <w:pStyle w:val="Compact"/>
            </w:pPr>
            <w:r>
              <w:t xml:space="preserve">The data retention policy applying to this capability</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A7</w:t>
            </w:r>
          </w:p>
        </w:tc>
        <w:tc>
          <w:tcPr/>
          <w:p>
            <w:pPr>
              <w:pStyle w:val="Compact"/>
            </w:pPr>
            <w:r>
              <w:t xml:space="preserve">Are customer inputs or outputs used to train, fine-tune or evaluate any model?</w:t>
            </w:r>
          </w:p>
        </w:tc>
        <w:tc>
          <w:tcPr/>
          <w:p>
            <w:pPr>
              <w:pStyle w:val="Compact"/>
            </w:pPr>
            <w:r>
              <w:rPr>
                <w:rStyle w:val="VerbatimChar"/>
              </w:rPr>
              <w:t xml:space="preserve">single-select</w:t>
            </w:r>
            <w:r>
              <w:t xml:space="preserve">: never / only-with-opt-in / by-default-with-opt-out / yes / not-disclosed</w:t>
            </w:r>
          </w:p>
        </w:tc>
        <w:tc>
          <w:tcPr/>
          <w:p>
            <w:pPr>
              <w:pStyle w:val="Compact"/>
            </w:pPr>
            <w:r>
              <w:t xml:space="preserve">The contractual term or policy stating it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A8</w:t>
            </w:r>
          </w:p>
        </w:tc>
        <w:tc>
          <w:tcPr/>
          <w:p>
            <w:pPr>
              <w:pStyle w:val="Compact"/>
            </w:pPr>
            <w:r>
              <w:t xml:space="preserve">Is there a documented option to disable the behaviour in A7 entirely?</w:t>
            </w:r>
          </w:p>
        </w:tc>
        <w:tc>
          <w:tcPr/>
          <w:p>
            <w:pPr>
              <w:pStyle w:val="Compact"/>
            </w:pPr>
            <w:r>
              <w:rPr>
                <w:rStyle w:val="VerbatimChar"/>
              </w:rPr>
              <w:t xml:space="preserve">yes-no-evidence</w:t>
            </w:r>
          </w:p>
        </w:tc>
        <w:tc>
          <w:tcPr/>
          <w:p>
            <w:pPr>
              <w:pStyle w:val="Compact"/>
            </w:pPr>
            <w:r>
              <w:t xml:space="preserve">The configuration or contract term</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13"/>
    <w:bookmarkStart w:id="14" w:name="section-b.-training-data-9-questions"/>
    <w:p>
      <w:pPr>
        <w:pStyle w:val="Heading3"/>
      </w:pPr>
      <w:r>
        <w:t xml:space="preserve">Section B. Training data (9 questions)</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pPr>
            <w:r>
              <w:t xml:space="preserve">ID</w:t>
            </w:r>
          </w:p>
        </w:tc>
        <w:tc>
          <w:tcPr/>
          <w:p>
            <w:pPr>
              <w:pStyle w:val="Compact"/>
            </w:pPr>
            <w:r>
              <w:t xml:space="preserve">Question</w:t>
            </w:r>
          </w:p>
        </w:tc>
        <w:tc>
          <w:tcPr/>
          <w:p>
            <w:pPr>
              <w:pStyle w:val="Compact"/>
            </w:pPr>
            <w:r>
              <w:t xml:space="preserve">Answer format</w:t>
            </w:r>
          </w:p>
        </w:tc>
        <w:tc>
          <w:tcPr/>
          <w:p>
            <w:pPr>
              <w:pStyle w:val="Compact"/>
            </w:pPr>
            <w:r>
              <w:t xml:space="preserve">Evidence expected</w:t>
            </w:r>
          </w:p>
        </w:tc>
        <w:tc>
          <w:tcPr/>
          <w:p>
            <w:pPr>
              <w:pStyle w:val="Compact"/>
            </w:pPr>
            <w:r>
              <w:t xml:space="preserve">Outcome</w:t>
            </w:r>
          </w:p>
        </w:tc>
        <w:tc>
          <w:tcPr/>
          <w:p>
            <w:pPr>
              <w:pStyle w:val="Compact"/>
            </w:pPr>
            <w:r>
              <w:t xml:space="preserve">Answer</w:t>
            </w:r>
          </w:p>
        </w:tc>
        <w:tc>
          <w:tcPr/>
          <w:p>
            <w:pPr>
              <w:pStyle w:val="Compact"/>
            </w:pPr>
            <w:r>
              <w:t xml:space="preserve">Evidence supplied</w:t>
            </w:r>
          </w:p>
        </w:tc>
        <w:tc>
          <w:tcPr/>
          <w:p>
            <w:pPr>
              <w:pStyle w:val="Compact"/>
            </w:pPr>
            <w:r>
              <w:t xml:space="preserve">Where the evidence is held</w:t>
            </w:r>
          </w:p>
        </w:tc>
        <w:tc>
          <w:tcPr/>
          <w:p>
            <w:pPr>
              <w:pStyle w:val="Compact"/>
            </w:pPr>
            <w:r>
              <w:t xml:space="preserve">Reason</w:t>
            </w:r>
          </w:p>
        </w:tc>
        <w:tc>
          <w:tcPr/>
          <w:p>
            <w:pPr>
              <w:pStyle w:val="Compact"/>
            </w:pPr>
            <w:r>
              <w:t xml:space="preserve">Value</w:t>
            </w:r>
          </w:p>
        </w:tc>
      </w:tr>
      <w:tr>
        <w:tc>
          <w:tcPr/>
          <w:p>
            <w:pPr>
              <w:pStyle w:val="Compact"/>
            </w:pPr>
            <w:r>
              <w:rPr>
                <w:b/>
                <w:bCs/>
              </w:rPr>
              <w:t xml:space="preserve">B1</w:t>
            </w:r>
          </w:p>
        </w:tc>
        <w:tc>
          <w:tcPr/>
          <w:p>
            <w:pPr>
              <w:pStyle w:val="Compact"/>
            </w:pPr>
            <w:r>
              <w:t xml:space="preserve">What categories of data was the model trained on?</w:t>
            </w:r>
          </w:p>
        </w:tc>
        <w:tc>
          <w:tcPr/>
          <w:p>
            <w:pPr>
              <w:pStyle w:val="Compact"/>
            </w:pPr>
            <w:r>
              <w:rPr>
                <w:rStyle w:val="VerbatimChar"/>
              </w:rPr>
              <w:t xml:space="preserve">free-text</w:t>
            </w:r>
          </w:p>
        </w:tc>
        <w:tc>
          <w:tcPr/>
          <w:p>
            <w:pPr>
              <w:pStyle w:val="Compact"/>
            </w:pPr>
            <w:r>
              <w:t xml:space="preserve">A model card, data statement or equivalent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B2</w:t>
            </w:r>
          </w:p>
        </w:tc>
        <w:tc>
          <w:tcPr/>
          <w:p>
            <w:pPr>
              <w:pStyle w:val="Compact"/>
            </w:pPr>
            <w:r>
              <w:t xml:space="preserve">Do you hold a documented provenance record for the training data?</w:t>
            </w:r>
          </w:p>
        </w:tc>
        <w:tc>
          <w:tcPr/>
          <w:p>
            <w:pPr>
              <w:pStyle w:val="Compact"/>
            </w:pPr>
            <w:r>
              <w:rPr>
                <w:rStyle w:val="VerbatimChar"/>
              </w:rPr>
              <w:t xml:space="preserve">yes-no-evidence</w:t>
            </w:r>
          </w:p>
        </w:tc>
        <w:tc>
          <w:tcPr/>
          <w:p>
            <w:pPr>
              <w:pStyle w:val="Compact"/>
            </w:pPr>
            <w:r>
              <w:t xml:space="preserve">The provenance record, or a description of its structure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B3</w:t>
            </w:r>
          </w:p>
        </w:tc>
        <w:tc>
          <w:tcPr/>
          <w:p>
            <w:pPr>
              <w:pStyle w:val="Compact"/>
            </w:pPr>
            <w:r>
              <w:t xml:space="preserve">If the model is licensed or open-weights, what do you know about its training data, and how did you come to know it?</w:t>
            </w:r>
          </w:p>
        </w:tc>
        <w:tc>
          <w:tcPr/>
          <w:p>
            <w:pPr>
              <w:pStyle w:val="Compact"/>
            </w:pPr>
            <w:r>
              <w:rPr>
                <w:rStyle w:val="VerbatimChar"/>
              </w:rPr>
              <w:t xml:space="preserve">free-text</w:t>
            </w:r>
          </w:p>
        </w:tc>
        <w:tc>
          <w:tcPr/>
          <w:p>
            <w:pPr>
              <w:pStyle w:val="Compact"/>
            </w:pPr>
            <w:r>
              <w:t xml:space="preserve">The provider's published material, cited</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B4</w:t>
            </w:r>
          </w:p>
        </w:tc>
        <w:tc>
          <w:tcPr/>
          <w:p>
            <w:pPr>
              <w:pStyle w:val="Compact"/>
            </w:pPr>
            <w:r>
              <w:t xml:space="preserve">Does the training data include personal data?</w:t>
            </w:r>
          </w:p>
        </w:tc>
        <w:tc>
          <w:tcPr/>
          <w:p>
            <w:pPr>
              <w:pStyle w:val="Compact"/>
            </w:pPr>
            <w:r>
              <w:rPr>
                <w:rStyle w:val="VerbatimChar"/>
              </w:rPr>
              <w:t xml:space="preserve">single-select</w:t>
            </w:r>
            <w:r>
              <w:t xml:space="preserve">: no / yes / unknown / not-disclosed</w:t>
            </w:r>
          </w:p>
        </w:tc>
        <w:tc>
          <w:tcPr/>
          <w:p>
            <w:pPr>
              <w:pStyle w:val="Compact"/>
            </w:pPr>
            <w:r>
              <w:t xml:space="preserve">The data protection assessment or provider statement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B5</w:t>
            </w:r>
          </w:p>
        </w:tc>
        <w:tc>
          <w:tcPr/>
          <w:p>
            <w:pPr>
              <w:pStyle w:val="Compact"/>
            </w:pPr>
            <w:r>
              <w:t xml:space="preserve">What lawful basis or permission covers the use of any personal data in training?</w:t>
            </w:r>
          </w:p>
        </w:tc>
        <w:tc>
          <w:tcPr/>
          <w:p>
            <w:pPr>
              <w:pStyle w:val="Compact"/>
            </w:pPr>
            <w:r>
              <w:rPr>
                <w:rStyle w:val="VerbatimChar"/>
              </w:rPr>
              <w:t xml:space="preserve">free-text</w:t>
            </w:r>
          </w:p>
        </w:tc>
        <w:tc>
          <w:tcPr/>
          <w:p>
            <w:pPr>
              <w:pStyle w:val="Compact"/>
            </w:pPr>
            <w:r>
              <w:t xml:space="preserve">The assessment or legal analysis relied 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B6</w:t>
            </w:r>
          </w:p>
        </w:tc>
        <w:tc>
          <w:tcPr/>
          <w:p>
            <w:pPr>
              <w:pStyle w:val="Compact"/>
            </w:pPr>
            <w:r>
              <w:t xml:space="preserve">Were any categories of data deliberately excluded, and which?</w:t>
            </w:r>
          </w:p>
        </w:tc>
        <w:tc>
          <w:tcPr/>
          <w:p>
            <w:pPr>
              <w:pStyle w:val="Compact"/>
            </w:pPr>
            <w:r>
              <w:rPr>
                <w:rStyle w:val="VerbatimChar"/>
              </w:rPr>
              <w:t xml:space="preserve">free-text</w:t>
            </w:r>
          </w:p>
        </w:tc>
        <w:tc>
          <w:tcPr/>
          <w:p>
            <w:pPr>
              <w:pStyle w:val="Compact"/>
            </w:pPr>
            <w:r>
              <w:t xml:space="preserve">The exclusion policy or filtering description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B7</w:t>
            </w:r>
          </w:p>
        </w:tc>
        <w:tc>
          <w:tcPr/>
          <w:p>
            <w:pPr>
              <w:pStyle w:val="Compact"/>
            </w:pPr>
            <w:r>
              <w:t xml:space="preserve">Has the training data been assessed for the presence of copyrighted material used without permission?</w:t>
            </w:r>
          </w:p>
        </w:tc>
        <w:tc>
          <w:tcPr/>
          <w:p>
            <w:pPr>
              <w:pStyle w:val="Compact"/>
            </w:pPr>
            <w:r>
              <w:rPr>
                <w:rStyle w:val="VerbatimChar"/>
              </w:rPr>
              <w:t xml:space="preserve">single-select</w:t>
            </w:r>
            <w:r>
              <w:t xml:space="preserve">: assessed-no-issues / assessed-issues-identified / not-assessed / not-disclosed</w:t>
            </w:r>
          </w:p>
        </w:tc>
        <w:tc>
          <w:tcPr/>
          <w:p>
            <w:pPr>
              <w:pStyle w:val="Compact"/>
            </w:pPr>
            <w:r>
              <w:t xml:space="preserve">The assessment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B8</w:t>
            </w:r>
          </w:p>
        </w:tc>
        <w:tc>
          <w:tcPr/>
          <w:p>
            <w:pPr>
              <w:pStyle w:val="Compact"/>
            </w:pPr>
            <w:r>
              <w:t xml:space="preserve">Can a customer request that specific data be excluded from future training?</w:t>
            </w:r>
          </w:p>
        </w:tc>
        <w:tc>
          <w:tcPr/>
          <w:p>
            <w:pPr>
              <w:pStyle w:val="Compact"/>
            </w:pPr>
            <w:r>
              <w:rPr>
                <w:rStyle w:val="VerbatimChar"/>
              </w:rPr>
              <w:t xml:space="preserve">yes-no-evidence</w:t>
            </w:r>
          </w:p>
        </w:tc>
        <w:tc>
          <w:tcPr/>
          <w:p>
            <w:pPr>
              <w:pStyle w:val="Compact"/>
            </w:pPr>
            <w:r>
              <w:t xml:space="preserve">The process description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B9</w:t>
            </w:r>
          </w:p>
        </w:tc>
        <w:tc>
          <w:tcPr/>
          <w:p>
            <w:pPr>
              <w:pStyle w:val="Compact"/>
            </w:pPr>
            <w:r>
              <w:t xml:space="preserve">What is the cut-off date of the training data?</w:t>
            </w:r>
          </w:p>
        </w:tc>
        <w:tc>
          <w:tcPr/>
          <w:p>
            <w:pPr>
              <w:pStyle w:val="Compact"/>
            </w:pPr>
            <w:r>
              <w:rPr>
                <w:rStyle w:val="VerbatimChar"/>
              </w:rPr>
              <w:t xml:space="preserve">date</w:t>
            </w:r>
          </w:p>
        </w:tc>
        <w:tc>
          <w:tcPr/>
          <w:p>
            <w:pPr>
              <w:pStyle w:val="Compact"/>
            </w:pPr>
            <w:r>
              <w:t xml:space="preserve">Documentation stating it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14"/>
    <w:bookmarkStart w:id="15" w:name="X7e658886b94155091be8282a8f4591020d6d106"/>
    <w:p>
      <w:pPr>
        <w:pStyle w:val="Heading3"/>
      </w:pPr>
      <w:r>
        <w:t xml:space="preserve">Section C. Evaluation and performance (9 questions)</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pPr>
            <w:r>
              <w:t xml:space="preserve">ID</w:t>
            </w:r>
          </w:p>
        </w:tc>
        <w:tc>
          <w:tcPr/>
          <w:p>
            <w:pPr>
              <w:pStyle w:val="Compact"/>
            </w:pPr>
            <w:r>
              <w:t xml:space="preserve">Question</w:t>
            </w:r>
          </w:p>
        </w:tc>
        <w:tc>
          <w:tcPr/>
          <w:p>
            <w:pPr>
              <w:pStyle w:val="Compact"/>
            </w:pPr>
            <w:r>
              <w:t xml:space="preserve">Answer format</w:t>
            </w:r>
          </w:p>
        </w:tc>
        <w:tc>
          <w:tcPr/>
          <w:p>
            <w:pPr>
              <w:pStyle w:val="Compact"/>
            </w:pPr>
            <w:r>
              <w:t xml:space="preserve">Evidence expected</w:t>
            </w:r>
          </w:p>
        </w:tc>
        <w:tc>
          <w:tcPr/>
          <w:p>
            <w:pPr>
              <w:pStyle w:val="Compact"/>
            </w:pPr>
            <w:r>
              <w:t xml:space="preserve">Outcome</w:t>
            </w:r>
          </w:p>
        </w:tc>
        <w:tc>
          <w:tcPr/>
          <w:p>
            <w:pPr>
              <w:pStyle w:val="Compact"/>
            </w:pPr>
            <w:r>
              <w:t xml:space="preserve">Answer</w:t>
            </w:r>
          </w:p>
        </w:tc>
        <w:tc>
          <w:tcPr/>
          <w:p>
            <w:pPr>
              <w:pStyle w:val="Compact"/>
            </w:pPr>
            <w:r>
              <w:t xml:space="preserve">Evidence supplied</w:t>
            </w:r>
          </w:p>
        </w:tc>
        <w:tc>
          <w:tcPr/>
          <w:p>
            <w:pPr>
              <w:pStyle w:val="Compact"/>
            </w:pPr>
            <w:r>
              <w:t xml:space="preserve">Where the evidence is held</w:t>
            </w:r>
          </w:p>
        </w:tc>
        <w:tc>
          <w:tcPr/>
          <w:p>
            <w:pPr>
              <w:pStyle w:val="Compact"/>
            </w:pPr>
            <w:r>
              <w:t xml:space="preserve">Reason</w:t>
            </w:r>
          </w:p>
        </w:tc>
        <w:tc>
          <w:tcPr/>
          <w:p>
            <w:pPr>
              <w:pStyle w:val="Compact"/>
            </w:pPr>
            <w:r>
              <w:t xml:space="preserve">Value</w:t>
            </w:r>
          </w:p>
        </w:tc>
      </w:tr>
      <w:tr>
        <w:tc>
          <w:tcPr/>
          <w:p>
            <w:pPr>
              <w:pStyle w:val="Compact"/>
            </w:pPr>
            <w:r>
              <w:rPr>
                <w:b/>
                <w:bCs/>
              </w:rPr>
              <w:t xml:space="preserve">C1</w:t>
            </w:r>
          </w:p>
        </w:tc>
        <w:tc>
          <w:tcPr/>
          <w:p>
            <w:pPr>
              <w:pStyle w:val="Compact"/>
            </w:pPr>
            <w:r>
              <w:t xml:space="preserve">What evaluations have been performed on the capability?</w:t>
            </w:r>
          </w:p>
        </w:tc>
        <w:tc>
          <w:tcPr/>
          <w:p>
            <w:pPr>
              <w:pStyle w:val="Compact"/>
            </w:pPr>
            <w:r>
              <w:rPr>
                <w:rStyle w:val="VerbatimChar"/>
              </w:rPr>
              <w:t xml:space="preserve">free-text</w:t>
            </w:r>
          </w:p>
        </w:tc>
        <w:tc>
          <w:tcPr/>
          <w:p>
            <w:pPr>
              <w:pStyle w:val="Compact"/>
            </w:pPr>
            <w:r>
              <w:t xml:space="preserve">Evaluation reports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C2</w:t>
            </w:r>
          </w:p>
        </w:tc>
        <w:tc>
          <w:tcPr/>
          <w:p>
            <w:pPr>
              <w:pStyle w:val="Compact"/>
            </w:pPr>
            <w:r>
              <w:t xml:space="preserve">Were any evaluations performed by a party independent of you?</w:t>
            </w:r>
          </w:p>
        </w:tc>
        <w:tc>
          <w:tcPr/>
          <w:p>
            <w:pPr>
              <w:pStyle w:val="Compact"/>
            </w:pPr>
            <w:r>
              <w:rPr>
                <w:rStyle w:val="VerbatimChar"/>
              </w:rPr>
              <w:t xml:space="preserve">yes-no-evidence</w:t>
            </w:r>
          </w:p>
        </w:tc>
        <w:tc>
          <w:tcPr/>
          <w:p>
            <w:pPr>
              <w:pStyle w:val="Compact"/>
            </w:pPr>
            <w:r>
              <w:t xml:space="preserve">The independent report, naming the party</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C3</w:t>
            </w:r>
          </w:p>
        </w:tc>
        <w:tc>
          <w:tcPr/>
          <w:p>
            <w:pPr>
              <w:pStyle w:val="Compact"/>
            </w:pPr>
            <w:r>
              <w:t xml:space="preserve">On what data were the evaluations performed, and is it disclosed?</w:t>
            </w:r>
          </w:p>
        </w:tc>
        <w:tc>
          <w:tcPr/>
          <w:p>
            <w:pPr>
              <w:pStyle w:val="Compact"/>
            </w:pPr>
            <w:r>
              <w:rPr>
                <w:rStyle w:val="VerbatimChar"/>
              </w:rPr>
              <w:t xml:space="preserve">single-select</w:t>
            </w:r>
            <w:r>
              <w:t xml:space="preserve">: public-benchmark / proprietary-disclosed / proprietary-undisclosed / not-evaluated / not-disclosed</w:t>
            </w:r>
          </w:p>
        </w:tc>
        <w:tc>
          <w:tcPr/>
          <w:p>
            <w:pPr>
              <w:pStyle w:val="Compact"/>
            </w:pPr>
            <w:r>
              <w:t xml:space="preserve">The evaluation methodology</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C4</w:t>
            </w:r>
          </w:p>
        </w:tc>
        <w:tc>
          <w:tcPr/>
          <w:p>
            <w:pPr>
              <w:pStyle w:val="Compact"/>
            </w:pPr>
            <w:r>
              <w:t xml:space="preserve">What is the measured error or failure rate, and on which task?</w:t>
            </w:r>
          </w:p>
        </w:tc>
        <w:tc>
          <w:tcPr/>
          <w:p>
            <w:pPr>
              <w:pStyle w:val="Compact"/>
            </w:pPr>
            <w:r>
              <w:rPr>
                <w:rStyle w:val="VerbatimChar"/>
              </w:rPr>
              <w:t xml:space="preserve">free-text</w:t>
            </w:r>
          </w:p>
        </w:tc>
        <w:tc>
          <w:tcPr/>
          <w:p>
            <w:pPr>
              <w:pStyle w:val="Compact"/>
            </w:pPr>
            <w:r>
              <w:t xml:space="preserve">The evaluation result with its methodology</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C5</w:t>
            </w:r>
          </w:p>
        </w:tc>
        <w:tc>
          <w:tcPr/>
          <w:p>
            <w:pPr>
              <w:pStyle w:val="Compact"/>
            </w:pPr>
            <w:r>
              <w:t xml:space="preserve">Has the capability been evaluated for differential performance across groups of people?</w:t>
            </w:r>
          </w:p>
        </w:tc>
        <w:tc>
          <w:tcPr/>
          <w:p>
            <w:pPr>
              <w:pStyle w:val="Compact"/>
            </w:pPr>
            <w:r>
              <w:rPr>
                <w:rStyle w:val="VerbatimChar"/>
              </w:rPr>
              <w:t xml:space="preserve">yes-no-evidence</w:t>
            </w:r>
          </w:p>
        </w:tc>
        <w:tc>
          <w:tcPr/>
          <w:p>
            <w:pPr>
              <w:pStyle w:val="Compact"/>
            </w:pPr>
            <w:r>
              <w:t xml:space="preserve">The fairness or subgroup evaluation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C6</w:t>
            </w:r>
          </w:p>
        </w:tc>
        <w:tc>
          <w:tcPr/>
          <w:p>
            <w:pPr>
              <w:pStyle w:val="Compact"/>
            </w:pPr>
            <w:r>
              <w:t xml:space="preserve">Can a customer reproduce any published performance claim on their own data?</w:t>
            </w:r>
          </w:p>
        </w:tc>
        <w:tc>
          <w:tcPr/>
          <w:p>
            <w:pPr>
              <w:pStyle w:val="Compact"/>
            </w:pPr>
            <w:r>
              <w:rPr>
                <w:rStyle w:val="VerbatimChar"/>
              </w:rPr>
              <w:t xml:space="preserve">yes-no-evidence</w:t>
            </w:r>
          </w:p>
        </w:tc>
        <w:tc>
          <w:tcPr/>
          <w:p>
            <w:pPr>
              <w:pStyle w:val="Compact"/>
            </w:pPr>
            <w:r>
              <w:t xml:space="preserve">The reproduction procedure or a customer evaluation kit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C7</w:t>
            </w:r>
          </w:p>
        </w:tc>
        <w:tc>
          <w:tcPr/>
          <w:p>
            <w:pPr>
              <w:pStyle w:val="Compact"/>
            </w:pPr>
            <w:r>
              <w:t xml:space="preserve">What are the documented limits of the capability, stated as tasks it should not be used for?</w:t>
            </w:r>
          </w:p>
        </w:tc>
        <w:tc>
          <w:tcPr/>
          <w:p>
            <w:pPr>
              <w:pStyle w:val="Compact"/>
            </w:pPr>
            <w:r>
              <w:rPr>
                <w:rStyle w:val="VerbatimChar"/>
              </w:rPr>
              <w:t xml:space="preserve">free-text</w:t>
            </w:r>
          </w:p>
        </w:tc>
        <w:tc>
          <w:tcPr/>
          <w:p>
            <w:pPr>
              <w:pStyle w:val="Compact"/>
            </w:pPr>
            <w:r>
              <w:t xml:space="preserve">The documentation stating limits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C8</w:t>
            </w:r>
          </w:p>
        </w:tc>
        <w:tc>
          <w:tcPr/>
          <w:p>
            <w:pPr>
              <w:pStyle w:val="Compact"/>
            </w:pPr>
            <w:r>
              <w:t xml:space="preserve">Is a confidence, uncertainty or abstention signal exposed to the customer?</w:t>
            </w:r>
          </w:p>
        </w:tc>
        <w:tc>
          <w:tcPr/>
          <w:p>
            <w:pPr>
              <w:pStyle w:val="Compact"/>
            </w:pPr>
            <w:r>
              <w:rPr>
                <w:rStyle w:val="VerbatimChar"/>
              </w:rPr>
              <w:t xml:space="preserve">yes-no-evidence</w:t>
            </w:r>
          </w:p>
        </w:tc>
        <w:tc>
          <w:tcPr/>
          <w:p>
            <w:pPr>
              <w:pStyle w:val="Compact"/>
            </w:pPr>
            <w:r>
              <w:t xml:space="preserve">The API or product documentation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C9</w:t>
            </w:r>
          </w:p>
        </w:tc>
        <w:tc>
          <w:tcPr/>
          <w:p>
            <w:pPr>
              <w:pStyle w:val="Compact"/>
            </w:pPr>
            <w:r>
              <w:t xml:space="preserve">Has the capability been evaluated for prompt injection, jailbreak or equivalent adversarial input?</w:t>
            </w:r>
          </w:p>
        </w:tc>
        <w:tc>
          <w:tcPr/>
          <w:p>
            <w:pPr>
              <w:pStyle w:val="Compact"/>
            </w:pPr>
            <w:r>
              <w:rPr>
                <w:rStyle w:val="VerbatimChar"/>
              </w:rPr>
              <w:t xml:space="preserve">yes-no-evidence</w:t>
            </w:r>
          </w:p>
        </w:tc>
        <w:tc>
          <w:tcPr/>
          <w:p>
            <w:pPr>
              <w:pStyle w:val="Compact"/>
            </w:pPr>
            <w:r>
              <w:t xml:space="preserve">The adversarial evaluation report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15"/>
    <w:bookmarkStart w:id="16" w:name="section-d.-incident-history-8-questions"/>
    <w:p>
      <w:pPr>
        <w:pStyle w:val="Heading3"/>
      </w:pPr>
      <w:r>
        <w:t xml:space="preserve">Section D. Incident history (8 questions)</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pPr>
            <w:r>
              <w:t xml:space="preserve">ID</w:t>
            </w:r>
          </w:p>
        </w:tc>
        <w:tc>
          <w:tcPr/>
          <w:p>
            <w:pPr>
              <w:pStyle w:val="Compact"/>
            </w:pPr>
            <w:r>
              <w:t xml:space="preserve">Question</w:t>
            </w:r>
          </w:p>
        </w:tc>
        <w:tc>
          <w:tcPr/>
          <w:p>
            <w:pPr>
              <w:pStyle w:val="Compact"/>
            </w:pPr>
            <w:r>
              <w:t xml:space="preserve">Answer format</w:t>
            </w:r>
          </w:p>
        </w:tc>
        <w:tc>
          <w:tcPr/>
          <w:p>
            <w:pPr>
              <w:pStyle w:val="Compact"/>
            </w:pPr>
            <w:r>
              <w:t xml:space="preserve">Evidence expected</w:t>
            </w:r>
          </w:p>
        </w:tc>
        <w:tc>
          <w:tcPr/>
          <w:p>
            <w:pPr>
              <w:pStyle w:val="Compact"/>
            </w:pPr>
            <w:r>
              <w:t xml:space="preserve">Outcome</w:t>
            </w:r>
          </w:p>
        </w:tc>
        <w:tc>
          <w:tcPr/>
          <w:p>
            <w:pPr>
              <w:pStyle w:val="Compact"/>
            </w:pPr>
            <w:r>
              <w:t xml:space="preserve">Answer</w:t>
            </w:r>
          </w:p>
        </w:tc>
        <w:tc>
          <w:tcPr/>
          <w:p>
            <w:pPr>
              <w:pStyle w:val="Compact"/>
            </w:pPr>
            <w:r>
              <w:t xml:space="preserve">Evidence supplied</w:t>
            </w:r>
          </w:p>
        </w:tc>
        <w:tc>
          <w:tcPr/>
          <w:p>
            <w:pPr>
              <w:pStyle w:val="Compact"/>
            </w:pPr>
            <w:r>
              <w:t xml:space="preserve">Where the evidence is held</w:t>
            </w:r>
          </w:p>
        </w:tc>
        <w:tc>
          <w:tcPr/>
          <w:p>
            <w:pPr>
              <w:pStyle w:val="Compact"/>
            </w:pPr>
            <w:r>
              <w:t xml:space="preserve">Reason</w:t>
            </w:r>
          </w:p>
        </w:tc>
        <w:tc>
          <w:tcPr/>
          <w:p>
            <w:pPr>
              <w:pStyle w:val="Compact"/>
            </w:pPr>
            <w:r>
              <w:t xml:space="preserve">Value</w:t>
            </w:r>
          </w:p>
        </w:tc>
      </w:tr>
      <w:tr>
        <w:tc>
          <w:tcPr/>
          <w:p>
            <w:pPr>
              <w:pStyle w:val="Compact"/>
            </w:pPr>
            <w:r>
              <w:rPr>
                <w:b/>
                <w:bCs/>
              </w:rPr>
              <w:t xml:space="preserve">D1</w:t>
            </w:r>
          </w:p>
        </w:tc>
        <w:tc>
          <w:tcPr/>
          <w:p>
            <w:pPr>
              <w:pStyle w:val="Compact"/>
            </w:pPr>
            <w:r>
              <w:t xml:space="preserve">Have there been incidents in which the capability produced materially wrong or harmful output?</w:t>
            </w:r>
          </w:p>
        </w:tc>
        <w:tc>
          <w:tcPr/>
          <w:p>
            <w:pPr>
              <w:pStyle w:val="Compact"/>
            </w:pPr>
            <w:r>
              <w:rPr>
                <w:rStyle w:val="VerbatimChar"/>
              </w:rPr>
              <w:t xml:space="preserve">yes-no-evidence</w:t>
            </w:r>
          </w:p>
        </w:tc>
        <w:tc>
          <w:tcPr/>
          <w:p>
            <w:pPr>
              <w:pStyle w:val="Compact"/>
            </w:pPr>
            <w:r>
              <w:t xml:space="preserve">Incident summaries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D2</w:t>
            </w:r>
          </w:p>
        </w:tc>
        <w:tc>
          <w:tcPr/>
          <w:p>
            <w:pPr>
              <w:pStyle w:val="Compact"/>
            </w:pPr>
            <w:r>
              <w:t xml:space="preserve">Have there been incidents involving unavailability of the capability in the past 24 months?</w:t>
            </w:r>
          </w:p>
        </w:tc>
        <w:tc>
          <w:tcPr/>
          <w:p>
            <w:pPr>
              <w:pStyle w:val="Compact"/>
            </w:pPr>
            <w:r>
              <w:rPr>
                <w:rStyle w:val="VerbatimChar"/>
              </w:rPr>
              <w:t xml:space="preserve">yes-no-evidence</w:t>
            </w:r>
          </w:p>
        </w:tc>
        <w:tc>
          <w:tcPr/>
          <w:p>
            <w:pPr>
              <w:pStyle w:val="Compact"/>
            </w:pPr>
            <w:r>
              <w:t xml:space="preserve">Availability records or status history</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D3</w:t>
            </w:r>
          </w:p>
        </w:tc>
        <w:tc>
          <w:tcPr/>
          <w:p>
            <w:pPr>
              <w:pStyle w:val="Compact"/>
            </w:pPr>
            <w:r>
              <w:t xml:space="preserve">Have there been security incidents affecting customer data handled by the capability?</w:t>
            </w:r>
          </w:p>
        </w:tc>
        <w:tc>
          <w:tcPr/>
          <w:p>
            <w:pPr>
              <w:pStyle w:val="Compact"/>
            </w:pPr>
            <w:r>
              <w:rPr>
                <w:rStyle w:val="VerbatimChar"/>
              </w:rPr>
              <w:t xml:space="preserve">yes-no-evidence</w:t>
            </w:r>
          </w:p>
        </w:tc>
        <w:tc>
          <w:tcPr/>
          <w:p>
            <w:pPr>
              <w:pStyle w:val="Compact"/>
            </w:pPr>
            <w:r>
              <w:t xml:space="preserve">Incident summaries or breach notifications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D4</w:t>
            </w:r>
          </w:p>
        </w:tc>
        <w:tc>
          <w:tcPr/>
          <w:p>
            <w:pPr>
              <w:pStyle w:val="Compact"/>
            </w:pPr>
            <w:r>
              <w:t xml:space="preserve">How do you define an incident for this capability, and where is that definition recorded?</w:t>
            </w:r>
          </w:p>
        </w:tc>
        <w:tc>
          <w:tcPr/>
          <w:p>
            <w:pPr>
              <w:pStyle w:val="Compact"/>
            </w:pPr>
            <w:r>
              <w:rPr>
                <w:rStyle w:val="VerbatimChar"/>
              </w:rPr>
              <w:t xml:space="preserve">free-text</w:t>
            </w:r>
          </w:p>
        </w:tc>
        <w:tc>
          <w:tcPr/>
          <w:p>
            <w:pPr>
              <w:pStyle w:val="Compact"/>
            </w:pPr>
            <w:r>
              <w:t xml:space="preserve">The incident definition or policy</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D5</w:t>
            </w:r>
          </w:p>
        </w:tc>
        <w:tc>
          <w:tcPr/>
          <w:p>
            <w:pPr>
              <w:pStyle w:val="Compact"/>
            </w:pPr>
            <w:r>
              <w:t xml:space="preserve">Do you maintain a public incident history or status page?</w:t>
            </w:r>
          </w:p>
        </w:tc>
        <w:tc>
          <w:tcPr/>
          <w:p>
            <w:pPr>
              <w:pStyle w:val="Compact"/>
            </w:pPr>
            <w:r>
              <w:rPr>
                <w:rStyle w:val="VerbatimChar"/>
              </w:rPr>
              <w:t xml:space="preserve">yes-no-evidence</w:t>
            </w:r>
          </w:p>
        </w:tc>
        <w:tc>
          <w:tcPr/>
          <w:p>
            <w:pPr>
              <w:pStyle w:val="Compact"/>
            </w:pPr>
            <w:r>
              <w:t xml:space="preserve">The URL</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D6</w:t>
            </w:r>
          </w:p>
        </w:tc>
        <w:tc>
          <w:tcPr/>
          <w:p>
            <w:pPr>
              <w:pStyle w:val="Compact"/>
            </w:pPr>
            <w:r>
              <w:t xml:space="preserve">Within what period are customers notified of an incident affecting them?</w:t>
            </w:r>
          </w:p>
        </w:tc>
        <w:tc>
          <w:tcPr/>
          <w:p>
            <w:pPr>
              <w:pStyle w:val="Compact"/>
            </w:pPr>
            <w:r>
              <w:rPr>
                <w:rStyle w:val="VerbatimChar"/>
              </w:rPr>
              <w:t xml:space="preserve">free-text</w:t>
            </w:r>
          </w:p>
        </w:tc>
        <w:tc>
          <w:tcPr/>
          <w:p>
            <w:pPr>
              <w:pStyle w:val="Compact"/>
            </w:pPr>
            <w:r>
              <w:t xml:space="preserve">The contractual or policy commitment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D7</w:t>
            </w:r>
          </w:p>
        </w:tc>
        <w:tc>
          <w:tcPr/>
          <w:p>
            <w:pPr>
              <w:pStyle w:val="Compact"/>
            </w:pPr>
            <w:r>
              <w:t xml:space="preserve">Has any regulator, supervisor or authority raised a matter concerning this capability?</w:t>
            </w:r>
          </w:p>
        </w:tc>
        <w:tc>
          <w:tcPr/>
          <w:p>
            <w:pPr>
              <w:pStyle w:val="Compact"/>
            </w:pPr>
            <w:r>
              <w:rPr>
                <w:rStyle w:val="VerbatimChar"/>
              </w:rPr>
              <w:t xml:space="preserve">single-select</w:t>
            </w:r>
            <w:r>
              <w:t xml:space="preserve">: no / yes / not-disclosed</w:t>
            </w:r>
          </w:p>
        </w:tc>
        <w:tc>
          <w:tcPr/>
          <w:p>
            <w:pPr>
              <w:pStyle w:val="Compact"/>
            </w:pPr>
            <w:r>
              <w:t xml:space="preserve">A description of the matter and its status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D8</w:t>
            </w:r>
          </w:p>
        </w:tc>
        <w:tc>
          <w:tcPr/>
          <w:p>
            <w:pPr>
              <w:pStyle w:val="Compact"/>
            </w:pPr>
            <w:r>
              <w:t xml:space="preserve">Is a post-incident review performed and made available to affected customers?</w:t>
            </w:r>
          </w:p>
        </w:tc>
        <w:tc>
          <w:tcPr/>
          <w:p>
            <w:pPr>
              <w:pStyle w:val="Compact"/>
            </w:pPr>
            <w:r>
              <w:rPr>
                <w:rStyle w:val="VerbatimChar"/>
              </w:rPr>
              <w:t xml:space="preserve">yes-no-evidence</w:t>
            </w:r>
          </w:p>
        </w:tc>
        <w:tc>
          <w:tcPr/>
          <w:p>
            <w:pPr>
              <w:pStyle w:val="Compact"/>
            </w:pPr>
            <w:r>
              <w:t xml:space="preserve">An example review, redacted as necessary</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16"/>
    <w:bookmarkStart w:id="17" w:name="X89dadcddc8e3535c961c18dd985a4e8e0ce5d56"/>
    <w:p>
      <w:pPr>
        <w:pStyle w:val="Heading3"/>
      </w:pPr>
      <w:r>
        <w:t xml:space="preserve">Section E. Subprocessors and supply chain (7 questions)</w:t>
      </w:r>
    </w:p>
    <w:p>
      <w:pPr>
        <w:pStyle w:val="FirstParagraph"/>
      </w:pPr>
      <w:r>
        <w:t xml:space="preserve">The deposit states that Section E applies to class C1.</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pPr>
            <w:r>
              <w:t xml:space="preserve">ID</w:t>
            </w:r>
          </w:p>
        </w:tc>
        <w:tc>
          <w:tcPr/>
          <w:p>
            <w:pPr>
              <w:pStyle w:val="Compact"/>
            </w:pPr>
            <w:r>
              <w:t xml:space="preserve">Question</w:t>
            </w:r>
          </w:p>
        </w:tc>
        <w:tc>
          <w:tcPr/>
          <w:p>
            <w:pPr>
              <w:pStyle w:val="Compact"/>
            </w:pPr>
            <w:r>
              <w:t xml:space="preserve">Answer format</w:t>
            </w:r>
          </w:p>
        </w:tc>
        <w:tc>
          <w:tcPr/>
          <w:p>
            <w:pPr>
              <w:pStyle w:val="Compact"/>
            </w:pPr>
            <w:r>
              <w:t xml:space="preserve">Evidence expected</w:t>
            </w:r>
          </w:p>
        </w:tc>
        <w:tc>
          <w:tcPr/>
          <w:p>
            <w:pPr>
              <w:pStyle w:val="Compact"/>
            </w:pPr>
            <w:r>
              <w:t xml:space="preserve">Outcome</w:t>
            </w:r>
          </w:p>
        </w:tc>
        <w:tc>
          <w:tcPr/>
          <w:p>
            <w:pPr>
              <w:pStyle w:val="Compact"/>
            </w:pPr>
            <w:r>
              <w:t xml:space="preserve">Answer</w:t>
            </w:r>
          </w:p>
        </w:tc>
        <w:tc>
          <w:tcPr/>
          <w:p>
            <w:pPr>
              <w:pStyle w:val="Compact"/>
            </w:pPr>
            <w:r>
              <w:t xml:space="preserve">Evidence supplied</w:t>
            </w:r>
          </w:p>
        </w:tc>
        <w:tc>
          <w:tcPr/>
          <w:p>
            <w:pPr>
              <w:pStyle w:val="Compact"/>
            </w:pPr>
            <w:r>
              <w:t xml:space="preserve">Where the evidence is held</w:t>
            </w:r>
          </w:p>
        </w:tc>
        <w:tc>
          <w:tcPr/>
          <w:p>
            <w:pPr>
              <w:pStyle w:val="Compact"/>
            </w:pPr>
            <w:r>
              <w:t xml:space="preserve">Reason</w:t>
            </w:r>
          </w:p>
        </w:tc>
        <w:tc>
          <w:tcPr/>
          <w:p>
            <w:pPr>
              <w:pStyle w:val="Compact"/>
            </w:pPr>
            <w:r>
              <w:t xml:space="preserve">Value</w:t>
            </w:r>
          </w:p>
        </w:tc>
      </w:tr>
      <w:tr>
        <w:tc>
          <w:tcPr/>
          <w:p>
            <w:pPr>
              <w:pStyle w:val="Compact"/>
            </w:pPr>
            <w:r>
              <w:rPr>
                <w:b/>
                <w:bCs/>
              </w:rPr>
              <w:t xml:space="preserve">E1</w:t>
            </w:r>
          </w:p>
        </w:tc>
        <w:tc>
          <w:tcPr/>
          <w:p>
            <w:pPr>
              <w:pStyle w:val="Compact"/>
            </w:pPr>
            <w:r>
              <w:t xml:space="preserve">List every subprocessor that may access customer data through this capability.</w:t>
            </w:r>
          </w:p>
        </w:tc>
        <w:tc>
          <w:tcPr/>
          <w:p>
            <w:pPr>
              <w:pStyle w:val="Compact"/>
            </w:pPr>
            <w:r>
              <w:rPr>
                <w:rStyle w:val="VerbatimChar"/>
              </w:rPr>
              <w:t xml:space="preserve">free-text</w:t>
            </w:r>
          </w:p>
        </w:tc>
        <w:tc>
          <w:tcPr/>
          <w:p>
            <w:pPr>
              <w:pStyle w:val="Compact"/>
            </w:pPr>
            <w:r>
              <w:t xml:space="preserve">The subprocessor list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E2</w:t>
            </w:r>
          </w:p>
        </w:tc>
        <w:tc>
          <w:tcPr/>
          <w:p>
            <w:pPr>
              <w:pStyle w:val="Compact"/>
            </w:pPr>
            <w:r>
              <w:t xml:space="preserve">Is the subprocessor list published and versioned?</w:t>
            </w:r>
          </w:p>
        </w:tc>
        <w:tc>
          <w:tcPr/>
          <w:p>
            <w:pPr>
              <w:pStyle w:val="Compact"/>
            </w:pPr>
            <w:r>
              <w:rPr>
                <w:rStyle w:val="VerbatimChar"/>
              </w:rPr>
              <w:t xml:space="preserve">yes-no-evidence</w:t>
            </w:r>
          </w:p>
        </w:tc>
        <w:tc>
          <w:tcPr/>
          <w:p>
            <w:pPr>
              <w:pStyle w:val="Compact"/>
            </w:pPr>
            <w:r>
              <w:t xml:space="preserve">The URL and its change history</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E3</w:t>
            </w:r>
          </w:p>
        </w:tc>
        <w:tc>
          <w:tcPr/>
          <w:p>
            <w:pPr>
              <w:pStyle w:val="Compact"/>
            </w:pPr>
            <w:r>
              <w:t xml:space="preserve">How much notice is given before a subprocessor is added?</w:t>
            </w:r>
          </w:p>
        </w:tc>
        <w:tc>
          <w:tcPr/>
          <w:p>
            <w:pPr>
              <w:pStyle w:val="Compact"/>
            </w:pPr>
            <w:r>
              <w:rPr>
                <w:rStyle w:val="VerbatimChar"/>
              </w:rPr>
              <w:t xml:space="preserve">free-text</w:t>
            </w:r>
          </w:p>
        </w:tc>
        <w:tc>
          <w:tcPr/>
          <w:p>
            <w:pPr>
              <w:pStyle w:val="Compact"/>
            </w:pPr>
            <w:r>
              <w:t xml:space="preserve">The contractual commitment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E4</w:t>
            </w:r>
          </w:p>
        </w:tc>
        <w:tc>
          <w:tcPr/>
          <w:p>
            <w:pPr>
              <w:pStyle w:val="Compact"/>
            </w:pPr>
            <w:r>
              <w:t xml:space="preserve">May a customer object to a new subprocessor, and what follows if they do?</w:t>
            </w:r>
          </w:p>
        </w:tc>
        <w:tc>
          <w:tcPr/>
          <w:p>
            <w:pPr>
              <w:pStyle w:val="Compact"/>
            </w:pPr>
            <w:r>
              <w:rPr>
                <w:rStyle w:val="VerbatimChar"/>
              </w:rPr>
              <w:t xml:space="preserve">free-text</w:t>
            </w:r>
          </w:p>
        </w:tc>
        <w:tc>
          <w:tcPr/>
          <w:p>
            <w:pPr>
              <w:pStyle w:val="Compact"/>
            </w:pPr>
            <w:r>
              <w:t xml:space="preserve">The objection process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E5</w:t>
            </w:r>
          </w:p>
        </w:tc>
        <w:tc>
          <w:tcPr/>
          <w:p>
            <w:pPr>
              <w:pStyle w:val="Compact"/>
            </w:pPr>
            <w:r>
              <w:t xml:space="preserve">Does any subprocessor use customer data for its own purposes, including training?</w:t>
            </w:r>
          </w:p>
        </w:tc>
        <w:tc>
          <w:tcPr/>
          <w:p>
            <w:pPr>
              <w:pStyle w:val="Compact"/>
            </w:pPr>
            <w:r>
              <w:rPr>
                <w:rStyle w:val="VerbatimChar"/>
              </w:rPr>
              <w:t xml:space="preserve">single-select</w:t>
            </w:r>
            <w:r>
              <w:t xml:space="preserve">: no / yes / not-disclosed</w:t>
            </w:r>
          </w:p>
        </w:tc>
        <w:tc>
          <w:tcPr/>
          <w:p>
            <w:pPr>
              <w:pStyle w:val="Compact"/>
            </w:pPr>
            <w:r>
              <w:t xml:space="preserve">The subprocessor terms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E6</w:t>
            </w:r>
          </w:p>
        </w:tc>
        <w:tc>
          <w:tcPr/>
          <w:p>
            <w:pPr>
              <w:pStyle w:val="Compact"/>
            </w:pPr>
            <w:r>
              <w:t xml:space="preserve">If the underlying model is a third party's, what are your contractual rights against that provider on model change and on incident?</w:t>
            </w:r>
          </w:p>
        </w:tc>
        <w:tc>
          <w:tcPr/>
          <w:p>
            <w:pPr>
              <w:pStyle w:val="Compact"/>
            </w:pPr>
            <w:r>
              <w:rPr>
                <w:rStyle w:val="VerbatimChar"/>
              </w:rPr>
              <w:t xml:space="preserve">free-text</w:t>
            </w:r>
          </w:p>
        </w:tc>
        <w:tc>
          <w:tcPr/>
          <w:p>
            <w:pPr>
              <w:pStyle w:val="Compact"/>
            </w:pPr>
            <w:r>
              <w:t xml:space="preserve">The relevant terms, redacted as necessary</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E7</w:t>
            </w:r>
          </w:p>
        </w:tc>
        <w:tc>
          <w:tcPr/>
          <w:p>
            <w:pPr>
              <w:pStyle w:val="Compact"/>
            </w:pPr>
            <w:r>
              <w:t xml:space="preserve">Would a failure of any single subprocessor make the capability unavailable?</w:t>
            </w:r>
          </w:p>
        </w:tc>
        <w:tc>
          <w:tcPr/>
          <w:p>
            <w:pPr>
              <w:pStyle w:val="Compact"/>
            </w:pPr>
            <w:r>
              <w:rPr>
                <w:rStyle w:val="VerbatimChar"/>
              </w:rPr>
              <w:t xml:space="preserve">yes-no-evidence</w:t>
            </w:r>
          </w:p>
        </w:tc>
        <w:tc>
          <w:tcPr/>
          <w:p>
            <w:pPr>
              <w:pStyle w:val="Compact"/>
            </w:pPr>
            <w:r>
              <w:t xml:space="preserve">The dependency or resilience analysis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17"/>
    <w:bookmarkStart w:id="18" w:name="X631f8fd3b2064b541b517786ccab5311d8540e7"/>
    <w:p>
      <w:pPr>
        <w:pStyle w:val="Heading3"/>
      </w:pPr>
      <w:r>
        <w:t xml:space="preserve">Section F. Model change and notification (8 questions)</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pPr>
            <w:r>
              <w:t xml:space="preserve">ID</w:t>
            </w:r>
          </w:p>
        </w:tc>
        <w:tc>
          <w:tcPr/>
          <w:p>
            <w:pPr>
              <w:pStyle w:val="Compact"/>
            </w:pPr>
            <w:r>
              <w:t xml:space="preserve">Question</w:t>
            </w:r>
          </w:p>
        </w:tc>
        <w:tc>
          <w:tcPr/>
          <w:p>
            <w:pPr>
              <w:pStyle w:val="Compact"/>
            </w:pPr>
            <w:r>
              <w:t xml:space="preserve">Answer format</w:t>
            </w:r>
          </w:p>
        </w:tc>
        <w:tc>
          <w:tcPr/>
          <w:p>
            <w:pPr>
              <w:pStyle w:val="Compact"/>
            </w:pPr>
            <w:r>
              <w:t xml:space="preserve">Evidence expected</w:t>
            </w:r>
          </w:p>
        </w:tc>
        <w:tc>
          <w:tcPr/>
          <w:p>
            <w:pPr>
              <w:pStyle w:val="Compact"/>
            </w:pPr>
            <w:r>
              <w:t xml:space="preserve">Outcome</w:t>
            </w:r>
          </w:p>
        </w:tc>
        <w:tc>
          <w:tcPr/>
          <w:p>
            <w:pPr>
              <w:pStyle w:val="Compact"/>
            </w:pPr>
            <w:r>
              <w:t xml:space="preserve">Answer</w:t>
            </w:r>
          </w:p>
        </w:tc>
        <w:tc>
          <w:tcPr/>
          <w:p>
            <w:pPr>
              <w:pStyle w:val="Compact"/>
            </w:pPr>
            <w:r>
              <w:t xml:space="preserve">Evidence supplied</w:t>
            </w:r>
          </w:p>
        </w:tc>
        <w:tc>
          <w:tcPr/>
          <w:p>
            <w:pPr>
              <w:pStyle w:val="Compact"/>
            </w:pPr>
            <w:r>
              <w:t xml:space="preserve">Where the evidence is held</w:t>
            </w:r>
          </w:p>
        </w:tc>
        <w:tc>
          <w:tcPr/>
          <w:p>
            <w:pPr>
              <w:pStyle w:val="Compact"/>
            </w:pPr>
            <w:r>
              <w:t xml:space="preserve">Reason</w:t>
            </w:r>
          </w:p>
        </w:tc>
        <w:tc>
          <w:tcPr/>
          <w:p>
            <w:pPr>
              <w:pStyle w:val="Compact"/>
            </w:pPr>
            <w:r>
              <w:t xml:space="preserve">Value</w:t>
            </w:r>
          </w:p>
        </w:tc>
      </w:tr>
      <w:tr>
        <w:tc>
          <w:tcPr/>
          <w:p>
            <w:pPr>
              <w:pStyle w:val="Compact"/>
            </w:pPr>
            <w:r>
              <w:rPr>
                <w:b/>
                <w:bCs/>
              </w:rPr>
              <w:t xml:space="preserve">F1</w:t>
            </w:r>
          </w:p>
        </w:tc>
        <w:tc>
          <w:tcPr/>
          <w:p>
            <w:pPr>
              <w:pStyle w:val="Compact"/>
            </w:pPr>
            <w:r>
              <w:t xml:space="preserve">Can the underlying model be changed without a change to the API or interface?</w:t>
            </w:r>
          </w:p>
        </w:tc>
        <w:tc>
          <w:tcPr/>
          <w:p>
            <w:pPr>
              <w:pStyle w:val="Compact"/>
            </w:pPr>
            <w:r>
              <w:rPr>
                <w:rStyle w:val="VerbatimChar"/>
              </w:rPr>
              <w:t xml:space="preserve">single-select</w:t>
            </w:r>
            <w:r>
              <w:t xml:space="preserve">: no / yes / not-disclosed</w:t>
            </w:r>
          </w:p>
        </w:tc>
        <w:tc>
          <w:tcPr/>
          <w:p>
            <w:pPr>
              <w:pStyle w:val="Compact"/>
            </w:pPr>
            <w:r>
              <w:t xml:space="preserve">The versioning documentation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F2</w:t>
            </w:r>
          </w:p>
        </w:tc>
        <w:tc>
          <w:tcPr/>
          <w:p>
            <w:pPr>
              <w:pStyle w:val="Compact"/>
            </w:pPr>
            <w:r>
              <w:t xml:space="preserve">What notice is given before a model change that could alter output behaviour?</w:t>
            </w:r>
          </w:p>
        </w:tc>
        <w:tc>
          <w:tcPr/>
          <w:p>
            <w:pPr>
              <w:pStyle w:val="Compact"/>
            </w:pPr>
            <w:r>
              <w:rPr>
                <w:rStyle w:val="VerbatimChar"/>
              </w:rPr>
              <w:t xml:space="preserve">free-text</w:t>
            </w:r>
          </w:p>
        </w:tc>
        <w:tc>
          <w:tcPr/>
          <w:p>
            <w:pPr>
              <w:pStyle w:val="Compact"/>
            </w:pPr>
            <w:r>
              <w:t xml:space="preserve">The contractual or policy commitment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F3</w:t>
            </w:r>
          </w:p>
        </w:tc>
        <w:tc>
          <w:tcPr/>
          <w:p>
            <w:pPr>
              <w:pStyle w:val="Compact"/>
            </w:pPr>
            <w:r>
              <w:t xml:space="preserve">How do you define a material model change?</w:t>
            </w:r>
          </w:p>
        </w:tc>
        <w:tc>
          <w:tcPr/>
          <w:p>
            <w:pPr>
              <w:pStyle w:val="Compact"/>
            </w:pPr>
            <w:r>
              <w:rPr>
                <w:rStyle w:val="VerbatimChar"/>
              </w:rPr>
              <w:t xml:space="preserve">free-text</w:t>
            </w:r>
          </w:p>
        </w:tc>
        <w:tc>
          <w:tcPr/>
          <w:p>
            <w:pPr>
              <w:pStyle w:val="Compact"/>
            </w:pPr>
            <w:r>
              <w:t xml:space="preserve">The definition, as recorded</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F4</w:t>
            </w:r>
          </w:p>
        </w:tc>
        <w:tc>
          <w:tcPr/>
          <w:p>
            <w:pPr>
              <w:pStyle w:val="Compact"/>
            </w:pPr>
            <w:r>
              <w:t xml:space="preserve">Can a customer pin a specific model version, and for how long?</w:t>
            </w:r>
          </w:p>
        </w:tc>
        <w:tc>
          <w:tcPr/>
          <w:p>
            <w:pPr>
              <w:pStyle w:val="Compact"/>
            </w:pPr>
            <w:r>
              <w:rPr>
                <w:rStyle w:val="VerbatimChar"/>
              </w:rPr>
              <w:t xml:space="preserve">yes-no-evidence</w:t>
            </w:r>
          </w:p>
        </w:tc>
        <w:tc>
          <w:tcPr/>
          <w:p>
            <w:pPr>
              <w:pStyle w:val="Compact"/>
            </w:pPr>
            <w:r>
              <w:t xml:space="preserve">The pinning documentation and its support window</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F5</w:t>
            </w:r>
          </w:p>
        </w:tc>
        <w:tc>
          <w:tcPr/>
          <w:p>
            <w:pPr>
              <w:pStyle w:val="Compact"/>
            </w:pPr>
            <w:r>
              <w:t xml:space="preserve">Are changes to system prompts, guardrails or safety filters notified?</w:t>
            </w:r>
          </w:p>
        </w:tc>
        <w:tc>
          <w:tcPr/>
          <w:p>
            <w:pPr>
              <w:pStyle w:val="Compact"/>
            </w:pPr>
            <w:r>
              <w:rPr>
                <w:rStyle w:val="VerbatimChar"/>
              </w:rPr>
              <w:t xml:space="preserve">single-select</w:t>
            </w:r>
            <w:r>
              <w:t xml:space="preserve">: always / material-only / never / not-disclosed</w:t>
            </w:r>
          </w:p>
        </w:tc>
        <w:tc>
          <w:tcPr/>
          <w:p>
            <w:pPr>
              <w:pStyle w:val="Compact"/>
            </w:pPr>
            <w:r>
              <w:t xml:space="preserve">The notification policy</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F6</w:t>
            </w:r>
          </w:p>
        </w:tc>
        <w:tc>
          <w:tcPr/>
          <w:p>
            <w:pPr>
              <w:pStyle w:val="Compact"/>
            </w:pPr>
            <w:r>
              <w:t xml:space="preserve">Is a changelog for the capability published and versioned?</w:t>
            </w:r>
          </w:p>
        </w:tc>
        <w:tc>
          <w:tcPr/>
          <w:p>
            <w:pPr>
              <w:pStyle w:val="Compact"/>
            </w:pPr>
            <w:r>
              <w:rPr>
                <w:rStyle w:val="VerbatimChar"/>
              </w:rPr>
              <w:t xml:space="preserve">yes-no-evidence</w:t>
            </w:r>
          </w:p>
        </w:tc>
        <w:tc>
          <w:tcPr/>
          <w:p>
            <w:pPr>
              <w:pStyle w:val="Compact"/>
            </w:pPr>
            <w:r>
              <w:t xml:space="preserve">The URL</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F7</w:t>
            </w:r>
          </w:p>
        </w:tc>
        <w:tc>
          <w:tcPr/>
          <w:p>
            <w:pPr>
              <w:pStyle w:val="Compact"/>
            </w:pPr>
            <w:r>
              <w:t xml:space="preserve">Can a customer evaluate a new version before it is applied to them?</w:t>
            </w:r>
          </w:p>
        </w:tc>
        <w:tc>
          <w:tcPr/>
          <w:p>
            <w:pPr>
              <w:pStyle w:val="Compact"/>
            </w:pPr>
            <w:r>
              <w:rPr>
                <w:rStyle w:val="VerbatimChar"/>
              </w:rPr>
              <w:t xml:space="preserve">yes-no-evidence</w:t>
            </w:r>
          </w:p>
        </w:tc>
        <w:tc>
          <w:tcPr/>
          <w:p>
            <w:pPr>
              <w:pStyle w:val="Compact"/>
            </w:pPr>
            <w:r>
              <w:t xml:space="preserve">The preview or staging process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F8</w:t>
            </w:r>
          </w:p>
        </w:tc>
        <w:tc>
          <w:tcPr/>
          <w:p>
            <w:pPr>
              <w:pStyle w:val="Compact"/>
            </w:pPr>
            <w:r>
              <w:t xml:space="preserve">Is a rollback to the prior version available to a customer after a change?</w:t>
            </w:r>
          </w:p>
        </w:tc>
        <w:tc>
          <w:tcPr/>
          <w:p>
            <w:pPr>
              <w:pStyle w:val="Compact"/>
            </w:pPr>
            <w:r>
              <w:rPr>
                <w:rStyle w:val="VerbatimChar"/>
              </w:rPr>
              <w:t xml:space="preserve">yes-no-evidence</w:t>
            </w:r>
          </w:p>
        </w:tc>
        <w:tc>
          <w:tcPr/>
          <w:p>
            <w:pPr>
              <w:pStyle w:val="Compact"/>
            </w:pPr>
            <w:r>
              <w:t xml:space="preserve">The rollback process and its window</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18"/>
    <w:bookmarkStart w:id="19" w:name="Xa26ec0bc63f9946a81f5ef392b646a73cb02d2f"/>
    <w:p>
      <w:pPr>
        <w:pStyle w:val="Heading3"/>
      </w:pPr>
      <w:r>
        <w:t xml:space="preserve">Section G. Exit and portability (7 questions)</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pPr>
            <w:r>
              <w:t xml:space="preserve">ID</w:t>
            </w:r>
          </w:p>
        </w:tc>
        <w:tc>
          <w:tcPr/>
          <w:p>
            <w:pPr>
              <w:pStyle w:val="Compact"/>
            </w:pPr>
            <w:r>
              <w:t xml:space="preserve">Question</w:t>
            </w:r>
          </w:p>
        </w:tc>
        <w:tc>
          <w:tcPr/>
          <w:p>
            <w:pPr>
              <w:pStyle w:val="Compact"/>
            </w:pPr>
            <w:r>
              <w:t xml:space="preserve">Answer format</w:t>
            </w:r>
          </w:p>
        </w:tc>
        <w:tc>
          <w:tcPr/>
          <w:p>
            <w:pPr>
              <w:pStyle w:val="Compact"/>
            </w:pPr>
            <w:r>
              <w:t xml:space="preserve">Evidence expected</w:t>
            </w:r>
          </w:p>
        </w:tc>
        <w:tc>
          <w:tcPr/>
          <w:p>
            <w:pPr>
              <w:pStyle w:val="Compact"/>
            </w:pPr>
            <w:r>
              <w:t xml:space="preserve">Outcome</w:t>
            </w:r>
          </w:p>
        </w:tc>
        <w:tc>
          <w:tcPr/>
          <w:p>
            <w:pPr>
              <w:pStyle w:val="Compact"/>
            </w:pPr>
            <w:r>
              <w:t xml:space="preserve">Answer</w:t>
            </w:r>
          </w:p>
        </w:tc>
        <w:tc>
          <w:tcPr/>
          <w:p>
            <w:pPr>
              <w:pStyle w:val="Compact"/>
            </w:pPr>
            <w:r>
              <w:t xml:space="preserve">Evidence supplied</w:t>
            </w:r>
          </w:p>
        </w:tc>
        <w:tc>
          <w:tcPr/>
          <w:p>
            <w:pPr>
              <w:pStyle w:val="Compact"/>
            </w:pPr>
            <w:r>
              <w:t xml:space="preserve">Where the evidence is held</w:t>
            </w:r>
          </w:p>
        </w:tc>
        <w:tc>
          <w:tcPr/>
          <w:p>
            <w:pPr>
              <w:pStyle w:val="Compact"/>
            </w:pPr>
            <w:r>
              <w:t xml:space="preserve">Reason</w:t>
            </w:r>
          </w:p>
        </w:tc>
        <w:tc>
          <w:tcPr/>
          <w:p>
            <w:pPr>
              <w:pStyle w:val="Compact"/>
            </w:pPr>
            <w:r>
              <w:t xml:space="preserve">Value</w:t>
            </w:r>
          </w:p>
        </w:tc>
      </w:tr>
      <w:tr>
        <w:tc>
          <w:tcPr/>
          <w:p>
            <w:pPr>
              <w:pStyle w:val="Compact"/>
            </w:pPr>
            <w:r>
              <w:rPr>
                <w:b/>
                <w:bCs/>
              </w:rPr>
              <w:t xml:space="preserve">G1</w:t>
            </w:r>
          </w:p>
        </w:tc>
        <w:tc>
          <w:tcPr/>
          <w:p>
            <w:pPr>
              <w:pStyle w:val="Compact"/>
            </w:pPr>
            <w:r>
              <w:t xml:space="preserve">On termination, in what form is customer data returned?</w:t>
            </w:r>
          </w:p>
        </w:tc>
        <w:tc>
          <w:tcPr/>
          <w:p>
            <w:pPr>
              <w:pStyle w:val="Compact"/>
            </w:pPr>
            <w:r>
              <w:rPr>
                <w:rStyle w:val="VerbatimChar"/>
              </w:rPr>
              <w:t xml:space="preserve">free-text</w:t>
            </w:r>
          </w:p>
        </w:tc>
        <w:tc>
          <w:tcPr/>
          <w:p>
            <w:pPr>
              <w:pStyle w:val="Compact"/>
            </w:pPr>
            <w:r>
              <w:t xml:space="preserve">The export format specification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G2</w:t>
            </w:r>
          </w:p>
        </w:tc>
        <w:tc>
          <w:tcPr/>
          <w:p>
            <w:pPr>
              <w:pStyle w:val="Compact"/>
            </w:pPr>
            <w:r>
              <w:t xml:space="preserve">Within what period is data returned after a termination request?</w:t>
            </w:r>
          </w:p>
        </w:tc>
        <w:tc>
          <w:tcPr/>
          <w:p>
            <w:pPr>
              <w:pStyle w:val="Compact"/>
            </w:pPr>
            <w:r>
              <w:rPr>
                <w:rStyle w:val="VerbatimChar"/>
              </w:rPr>
              <w:t xml:space="preserve">free-text</w:t>
            </w:r>
          </w:p>
        </w:tc>
        <w:tc>
          <w:tcPr/>
          <w:p>
            <w:pPr>
              <w:pStyle w:val="Compact"/>
            </w:pPr>
            <w:r>
              <w:t xml:space="preserve">The contractual commitment</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G3</w:t>
            </w:r>
          </w:p>
        </w:tc>
        <w:tc>
          <w:tcPr/>
          <w:p>
            <w:pPr>
              <w:pStyle w:val="Compact"/>
            </w:pPr>
            <w:r>
              <w:t xml:space="preserve">Within what period is customer data deleted from your systems and those of subprocessors?</w:t>
            </w:r>
          </w:p>
        </w:tc>
        <w:tc>
          <w:tcPr/>
          <w:p>
            <w:pPr>
              <w:pStyle w:val="Compact"/>
            </w:pPr>
            <w:r>
              <w:rPr>
                <w:rStyle w:val="VerbatimChar"/>
              </w:rPr>
              <w:t xml:space="preserve">free-text</w:t>
            </w:r>
          </w:p>
        </w:tc>
        <w:tc>
          <w:tcPr/>
          <w:p>
            <w:pPr>
              <w:pStyle w:val="Compact"/>
            </w:pPr>
            <w:r>
              <w:t xml:space="preserve">The deletion commitment and its scope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G4</w:t>
            </w:r>
          </w:p>
        </w:tc>
        <w:tc>
          <w:tcPr/>
          <w:p>
            <w:pPr>
              <w:pStyle w:val="Compact"/>
            </w:pPr>
            <w:r>
              <w:t xml:space="preserve">Is deletion confirmed in writing, and does the confirmation cover subprocessors and backups?</w:t>
            </w:r>
          </w:p>
        </w:tc>
        <w:tc>
          <w:tcPr/>
          <w:p>
            <w:pPr>
              <w:pStyle w:val="Compact"/>
            </w:pPr>
            <w:r>
              <w:rPr>
                <w:rStyle w:val="VerbatimChar"/>
              </w:rPr>
              <w:t xml:space="preserve">yes-no-evidence</w:t>
            </w:r>
          </w:p>
        </w:tc>
        <w:tc>
          <w:tcPr/>
          <w:p>
            <w:pPr>
              <w:pStyle w:val="Compact"/>
            </w:pPr>
            <w:r>
              <w:t xml:space="preserve">An example confirmation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G5</w:t>
            </w:r>
          </w:p>
        </w:tc>
        <w:tc>
          <w:tcPr/>
          <w:p>
            <w:pPr>
              <w:pStyle w:val="Compact"/>
            </w:pPr>
            <w:r>
              <w:t xml:space="preserve">Are prompts, configurations, fine-tunes or other customer-created artifacts exportable?</w:t>
            </w:r>
          </w:p>
        </w:tc>
        <w:tc>
          <w:tcPr/>
          <w:p>
            <w:pPr>
              <w:pStyle w:val="Compact"/>
            </w:pPr>
            <w:r>
              <w:rPr>
                <w:rStyle w:val="VerbatimChar"/>
              </w:rPr>
              <w:t xml:space="preserve">single-select</w:t>
            </w:r>
            <w:r>
              <w:t xml:space="preserve">: all / some / none / not-disclosed</w:t>
            </w:r>
          </w:p>
        </w:tc>
        <w:tc>
          <w:tcPr/>
          <w:p>
            <w:pPr>
              <w:pStyle w:val="Compact"/>
            </w:pPr>
            <w:r>
              <w:t xml:space="preserve">The export documentation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G6</w:t>
            </w:r>
          </w:p>
        </w:tc>
        <w:tc>
          <w:tcPr/>
          <w:p>
            <w:pPr>
              <w:pStyle w:val="Compact"/>
            </w:pPr>
            <w:r>
              <w:t xml:space="preserve">What would prevent a customer from moving this workload to another provider?</w:t>
            </w:r>
          </w:p>
        </w:tc>
        <w:tc>
          <w:tcPr/>
          <w:p>
            <w:pPr>
              <w:pStyle w:val="Compact"/>
            </w:pPr>
            <w:r>
              <w:rPr>
                <w:rStyle w:val="VerbatimChar"/>
              </w:rPr>
              <w:t xml:space="preserve">free-text</w:t>
            </w:r>
          </w:p>
        </w:tc>
        <w:tc>
          <w:tcPr/>
          <w:p>
            <w:pPr>
              <w:pStyle w:val="Compact"/>
            </w:pPr>
            <w:r>
              <w:t xml:space="preserve">An honest description, which is the point of the question</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rPr>
                <w:b/>
                <w:bCs/>
              </w:rPr>
              <w:t xml:space="preserve">G7</w:t>
            </w:r>
          </w:p>
        </w:tc>
        <w:tc>
          <w:tcPr/>
          <w:p>
            <w:pPr>
              <w:pStyle w:val="Compact"/>
            </w:pPr>
            <w:r>
              <w:t xml:space="preserve">Has a customer exit been performed and completed at least once?</w:t>
            </w:r>
          </w:p>
        </w:tc>
        <w:tc>
          <w:tcPr/>
          <w:p>
            <w:pPr>
              <w:pStyle w:val="Compact"/>
            </w:pPr>
            <w:r>
              <w:rPr>
                <w:rStyle w:val="VerbatimChar"/>
              </w:rPr>
              <w:t xml:space="preserve">yes-no-evidence</w:t>
            </w:r>
          </w:p>
        </w:tc>
        <w:tc>
          <w:tcPr/>
          <w:p>
            <w:pPr>
              <w:pStyle w:val="Compact"/>
            </w:pPr>
            <w:r>
              <w:t xml:space="preserve">A reference, redacted as necessary</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t xml:space="preserve">Eight in A, nine in B, nine in C, eight in D, seven in E, eight in F, seven in G. Fifty-six questions. The count is stated so that a truncated copy of the instrument is detectable (the deposit, Section 4.8).</w:t>
      </w:r>
    </w:p>
    <w:bookmarkEnd w:id="19"/>
    <w:bookmarkEnd w:id="20"/>
    <w:bookmarkStart w:id="24" w:name="part-c.-the-scoring-sheet"/>
    <w:p>
      <w:pPr>
        <w:pStyle w:val="Heading2"/>
      </w:pPr>
      <w:r>
        <w:t xml:space="preserve">Part C. The scoring sheet</w:t>
      </w:r>
    </w:p>
    <w:p>
      <w:pPr>
        <w:pStyle w:val="FirstParagraph"/>
      </w:pPr>
      <w:r>
        <w:t xml:space="preserve">The scoring is offered for the institution to adapt: "A score expresses a risk appetite." One fixed scheme would assert one appetite for every institution using it, and no score computed under it may be represented as a finding of the questionnaire (Chapter 9, quoting the deposit, which marks its scoring appendix informative).</w:t>
      </w:r>
    </w:p>
    <w:bookmarkStart w:id="21" w:name="c.1-three-values-per-applicable-question"/>
    <w:p>
      <w:pPr>
        <w:pStyle w:val="Heading3"/>
      </w:pPr>
      <w:r>
        <w:t xml:space="preserve">C.1 Three values per applicable question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Value</w:t>
            </w:r>
          </w:p>
        </w:tc>
        <w:tc>
          <w:tcPr/>
          <w:p>
            <w:pPr>
              <w:pStyle w:val="Compact"/>
            </w:pPr>
            <w:r>
              <w:t xml:space="preserve">Meaning (Chapter 9)</w:t>
            </w:r>
          </w:p>
        </w:tc>
        <w:tc>
          <w:tcPr/>
          <w:p>
            <w:pPr>
              <w:pStyle w:val="Compact"/>
            </w:pPr>
            <w:r>
              <w:t xml:space="preserve">From the outcome in Part B</w:t>
            </w:r>
          </w:p>
        </w:tc>
      </w:tr>
      <w:tr>
        <w:tc>
          <w:tcPr/>
          <w:p>
            <w:pPr>
              <w:pStyle w:val="Compact"/>
            </w:pPr>
            <w:r>
              <w:t xml:space="preserve">Satisfied</w:t>
            </w:r>
          </w:p>
        </w:tc>
        <w:tc>
          <w:tcPr/>
          <w:p>
            <w:pPr>
              <w:pStyle w:val="Compact"/>
            </w:pPr>
            <w:r>
              <w:t xml:space="preserve">Answered with its stated evidence</w:t>
            </w:r>
          </w:p>
        </w:tc>
        <w:tc>
          <w:tcPr/>
          <w:p>
            <w:pPr>
              <w:pStyle w:val="Compact"/>
            </w:pPr>
            <w:r>
              <w:t xml:space="preserve">answered, evidence supplied</w:t>
            </w:r>
          </w:p>
        </w:tc>
      </w:tr>
      <w:tr>
        <w:tc>
          <w:tcPr/>
          <w:p>
            <w:pPr>
              <w:pStyle w:val="Compact"/>
            </w:pPr>
            <w:r>
              <w:t xml:space="preserve">Asserted</w:t>
            </w:r>
          </w:p>
        </w:tc>
        <w:tc>
          <w:tcPr/>
          <w:p>
            <w:pPr>
              <w:pStyle w:val="Compact"/>
            </w:pPr>
            <w:r>
              <w:t xml:space="preserve">Answered without its stated evidence</w:t>
            </w:r>
          </w:p>
        </w:tc>
        <w:tc>
          <w:tcPr/>
          <w:p>
            <w:pPr>
              <w:pStyle w:val="Compact"/>
            </w:pPr>
            <w:r>
              <w:t xml:space="preserve">asserted</w:t>
            </w:r>
          </w:p>
        </w:tc>
      </w:tr>
      <w:tr>
        <w:tc>
          <w:tcPr/>
          <w:p>
            <w:pPr>
              <w:pStyle w:val="Compact"/>
            </w:pPr>
            <w:r>
              <w:t xml:space="preserve">Open</w:t>
            </w:r>
          </w:p>
        </w:tc>
        <w:tc>
          <w:tcPr/>
          <w:p>
            <w:pPr>
              <w:pStyle w:val="Compact"/>
            </w:pPr>
            <w:r>
              <w:t xml:space="preserve">Not answered with or without evidence</w:t>
            </w:r>
          </w:p>
        </w:tc>
        <w:tc>
          <w:tcPr/>
          <w:p>
            <w:pPr>
              <w:pStyle w:val="Compact"/>
            </w:pPr>
            <w:r>
              <w:t xml:space="preserve">declined, or not answered, or answered in the wrong format (the deposit, Appendix A.1)</w:t>
            </w:r>
          </w:p>
        </w:tc>
      </w:tr>
    </w:tbl>
    <w:p>
      <w:pPr>
        <w:pStyle w:val="BodyText"/>
      </w:pPr>
      <w:r>
        <w:t xml:space="preserve">A not-applicable question is excluded from the denominator rather than counted as satisfied (the deposit, Appendix A.1).</w:t>
      </w:r>
    </w:p>
    <w:bookmarkEnd w:id="21"/>
    <w:bookmarkStart w:id="22" w:name="c.2-counts-by-section"/>
    <w:p>
      <w:pPr>
        <w:pStyle w:val="Heading3"/>
      </w:pPr>
      <w:r>
        <w:t xml:space="preserve">C.2 Counts by section</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w:t>
            </w:r>
          </w:p>
        </w:tc>
        <w:tc>
          <w:tcPr/>
          <w:p>
            <w:pPr>
              <w:pStyle w:val="Compact"/>
            </w:pPr>
            <w:r>
              <w:t xml:space="preserve">Section</w:t>
            </w:r>
          </w:p>
        </w:tc>
        <w:tc>
          <w:tcPr/>
          <w:p>
            <w:pPr>
              <w:pStyle w:val="Compact"/>
            </w:pPr>
            <w:r>
              <w:t xml:space="preserve">Issued (yes / no)</w:t>
            </w:r>
          </w:p>
        </w:tc>
        <w:tc>
          <w:tcPr/>
          <w:p>
            <w:pPr>
              <w:pStyle w:val="Compact"/>
            </w:pPr>
            <w:r>
              <w:t xml:space="preserve">Applicable questions</w:t>
            </w:r>
          </w:p>
        </w:tc>
        <w:tc>
          <w:tcPr/>
          <w:p>
            <w:pPr>
              <w:pStyle w:val="Compact"/>
            </w:pPr>
            <w:r>
              <w:t xml:space="preserve">Satisfied</w:t>
            </w:r>
          </w:p>
        </w:tc>
        <w:tc>
          <w:tcPr/>
          <w:p>
            <w:pPr>
              <w:pStyle w:val="Compact"/>
            </w:pPr>
            <w:r>
              <w:t xml:space="preserve">Asserted</w:t>
            </w:r>
          </w:p>
        </w:tc>
        <w:tc>
          <w:tcPr/>
          <w:p>
            <w:pPr>
              <w:pStyle w:val="Compact"/>
            </w:pPr>
            <w:r>
              <w:t xml:space="preserve">Open</w:t>
            </w:r>
          </w:p>
        </w:tc>
        <w:tc>
          <w:tcPr/>
          <w:p>
            <w:pPr>
              <w:pStyle w:val="Compact"/>
            </w:pPr>
            <w:r>
              <w:t xml:space="preserve">Not applicable</w:t>
            </w:r>
          </w:p>
        </w:tc>
      </w:tr>
      <w:tr>
        <w:tc>
          <w:tcPr/>
          <w:p>
            <w:pPr>
              <w:pStyle w:val="Compact"/>
            </w:pPr>
            <w:r>
              <w:t xml:space="preserve">S1</w:t>
            </w:r>
          </w:p>
        </w:tc>
        <w:tc>
          <w:tcPr/>
          <w:p>
            <w:pPr>
              <w:pStyle w:val="Compact"/>
            </w:pPr>
            <w:r>
              <w:t xml:space="preserve">A. Provenance and identity (8)</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S2</w:t>
            </w:r>
          </w:p>
        </w:tc>
        <w:tc>
          <w:tcPr/>
          <w:p>
            <w:pPr>
              <w:pStyle w:val="Compact"/>
            </w:pPr>
            <w:r>
              <w:t xml:space="preserve">B. Training data (9)</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S3</w:t>
            </w:r>
          </w:p>
        </w:tc>
        <w:tc>
          <w:tcPr/>
          <w:p>
            <w:pPr>
              <w:pStyle w:val="Compact"/>
            </w:pPr>
            <w:r>
              <w:t xml:space="preserve">C. Evaluation and performance (9)</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S4</w:t>
            </w:r>
          </w:p>
        </w:tc>
        <w:tc>
          <w:tcPr/>
          <w:p>
            <w:pPr>
              <w:pStyle w:val="Compact"/>
            </w:pPr>
            <w:r>
              <w:t xml:space="preserve">D. Incident history (8)</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S5</w:t>
            </w:r>
          </w:p>
        </w:tc>
        <w:tc>
          <w:tcPr/>
          <w:p>
            <w:pPr>
              <w:pStyle w:val="Compact"/>
            </w:pPr>
            <w:r>
              <w:t xml:space="preserve">E. Subprocessors and supply chain (7)</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S6</w:t>
            </w:r>
          </w:p>
        </w:tc>
        <w:tc>
          <w:tcPr/>
          <w:p>
            <w:pPr>
              <w:pStyle w:val="Compact"/>
            </w:pPr>
            <w:r>
              <w:t xml:space="preserve">F. Model change and notification (8)</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S7</w:t>
            </w:r>
          </w:p>
        </w:tc>
        <w:tc>
          <w:tcPr/>
          <w:p>
            <w:pPr>
              <w:pStyle w:val="Compact"/>
            </w:pPr>
            <w:r>
              <w:t xml:space="preserve">G. Exit and portability (7)</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S8</w:t>
            </w:r>
          </w:p>
        </w:tc>
        <w:tc>
          <w:tcPr/>
          <w:p>
            <w:pPr>
              <w:pStyle w:val="Compact"/>
            </w:pPr>
            <w:r>
              <w:t xml:space="preserve">Total (56)</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22"/>
    <w:bookmarkStart w:id="23" w:name="c.3-two-ratios"/>
    <w:p>
      <w:pPr>
        <w:pStyle w:val="Heading3"/>
      </w:pPr>
      <w:r>
        <w:t xml:space="preserve">C.3 Two ratios</w:t>
      </w:r>
    </w:p>
    <w:p>
      <w:pPr>
        <w:pStyle w:val="FirstParagraph"/>
      </w:pPr>
      <w:r>
        <w:t xml:space="preserve">The two are kept apart because a vendor that answered everything and evidenced little is a different vendor from one that answered less and evidenced what it answered (Chapter 9).</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Ratio</w:t>
            </w:r>
          </w:p>
        </w:tc>
        <w:tc>
          <w:tcPr/>
          <w:p>
            <w:pPr>
              <w:pStyle w:val="Compact"/>
            </w:pPr>
            <w:r>
              <w:t xml:space="preserve">How it is computed</w:t>
            </w:r>
          </w:p>
        </w:tc>
        <w:tc>
          <w:tcPr/>
          <w:p>
            <w:pPr>
              <w:pStyle w:val="Compact"/>
            </w:pPr>
            <w:r>
              <w:t xml:space="preserve">Value</w:t>
            </w:r>
          </w:p>
        </w:tc>
      </w:tr>
      <w:tr>
        <w:tc>
          <w:tcPr/>
          <w:p>
            <w:pPr>
              <w:pStyle w:val="Compact"/>
            </w:pPr>
            <w:r>
              <w:t xml:space="preserve">S9</w:t>
            </w:r>
          </w:p>
        </w:tc>
        <w:tc>
          <w:tcPr/>
          <w:p>
            <w:pPr>
              <w:pStyle w:val="Compact"/>
            </w:pPr>
            <w:r>
              <w:t xml:space="preserve">Evidence ratio</w:t>
            </w:r>
          </w:p>
        </w:tc>
        <w:tc>
          <w:tcPr/>
          <w:p>
            <w:pPr>
              <w:pStyle w:val="Compact"/>
            </w:pPr>
            <w:r>
              <w:t xml:space="preserve">Satisfied, divided by applicable questions</w:t>
            </w:r>
          </w:p>
        </w:tc>
        <w:tc>
          <w:tcPr/>
          <w:p>
            <w:pPr>
              <w:pStyle w:val="Compact"/>
            </w:pPr>
          </w:p>
        </w:tc>
      </w:tr>
      <w:tr>
        <w:tc>
          <w:tcPr/>
          <w:p>
            <w:pPr>
              <w:pStyle w:val="Compact"/>
            </w:pPr>
            <w:r>
              <w:t xml:space="preserve">S10</w:t>
            </w:r>
          </w:p>
        </w:tc>
        <w:tc>
          <w:tcPr/>
          <w:p>
            <w:pPr>
              <w:pStyle w:val="Compact"/>
            </w:pPr>
            <w:r>
              <w:t xml:space="preserve">Response ratio</w:t>
            </w:r>
          </w:p>
        </w:tc>
        <w:tc>
          <w:tcPr/>
          <w:p>
            <w:pPr>
              <w:pStyle w:val="Compact"/>
            </w:pPr>
            <w:r>
              <w:t xml:space="preserve">Satisfied plus asserted, divided by applicable questions</w:t>
            </w:r>
          </w:p>
        </w:tc>
        <w:tc>
          <w:tcPr/>
          <w:p>
            <w:pPr>
              <w:pStyle w:val="Compact"/>
            </w:pPr>
          </w:p>
        </w:tc>
      </w:tr>
    </w:tbl>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Field</w:t>
            </w:r>
          </w:p>
        </w:tc>
        <w:tc>
          <w:tcPr/>
          <w:p>
            <w:pPr>
              <w:pStyle w:val="Compact"/>
            </w:pPr>
            <w:r>
              <w:t xml:space="preserve">Entry</w:t>
            </w:r>
          </w:p>
        </w:tc>
      </w:tr>
      <w:tr>
        <w:tc>
          <w:tcPr/>
          <w:p>
            <w:pPr>
              <w:pStyle w:val="Compact"/>
            </w:pPr>
            <w:r>
              <w:t xml:space="preserve">S11</w:t>
            </w:r>
          </w:p>
        </w:tc>
        <w:tc>
          <w:tcPr/>
          <w:p>
            <w:pPr>
              <w:pStyle w:val="Compact"/>
            </w:pPr>
            <w:r>
              <w:t xml:space="preserve">Declined questions, each with the vendor's stated reason</w:t>
            </w:r>
          </w:p>
        </w:tc>
        <w:tc>
          <w:tcPr/>
          <w:p>
            <w:pPr>
              <w:pStyle w:val="Compact"/>
            </w:pPr>
          </w:p>
        </w:tc>
      </w:tr>
    </w:tbl>
    <w:bookmarkEnd w:id="23"/>
    <w:bookmarkEnd w:id="24"/>
    <w:bookmarkStart w:id="26" w:name="part-d.-one-contract-one-response"/>
    <w:p>
      <w:pPr>
        <w:pStyle w:val="Heading2"/>
      </w:pPr>
      <w:r>
        <w:t xml:space="preserve">Part D. One contract, one response</w:t>
      </w:r>
    </w:p>
    <w:p>
      <w:pPr>
        <w:pStyle w:val="FirstParagraph"/>
      </w:pPr>
      <w:r>
        <w:t xml:space="preserve">Before any questionnaire goes out, answer three questions from one vendor contract, one API response from last week and the institution's own records (Chapter 9).</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Question</w:t>
            </w:r>
          </w:p>
        </w:tc>
        <w:tc>
          <w:tcPr/>
          <w:p>
            <w:pPr>
              <w:pStyle w:val="Compact"/>
            </w:pPr>
            <w:r>
              <w:t xml:space="preserve">Answer (yes / no)</w:t>
            </w:r>
          </w:p>
        </w:tc>
        <w:tc>
          <w:tcPr/>
          <w:p>
            <w:pPr>
              <w:pStyle w:val="Compact"/>
            </w:pPr>
            <w:r>
              <w:t xml:space="preserve">Source: the contract, the API response, or the institution's records</w:t>
            </w:r>
          </w:p>
        </w:tc>
      </w:tr>
      <w:tr>
        <w:tc>
          <w:tcPr/>
          <w:p>
            <w:pPr>
              <w:pStyle w:val="Compact"/>
            </w:pPr>
            <w:r>
              <w:t xml:space="preserve">D1</w:t>
            </w:r>
          </w:p>
        </w:tc>
        <w:tc>
          <w:tcPr/>
          <w:p>
            <w:pPr>
              <w:pStyle w:val="Compact"/>
            </w:pPr>
            <w:r>
              <w:t xml:space="preserve">Does the contract require notice before the model is retrained or rescaled?</w:t>
            </w:r>
          </w:p>
        </w:tc>
        <w:tc>
          <w:tcPr/>
          <w:p>
            <w:pPr>
              <w:pStyle w:val="Compact"/>
            </w:pPr>
          </w:p>
        </w:tc>
        <w:tc>
          <w:tcPr/>
          <w:p>
            <w:pPr>
              <w:pStyle w:val="Compact"/>
            </w:pPr>
          </w:p>
        </w:tc>
      </w:tr>
      <w:tr>
        <w:tc>
          <w:tcPr/>
          <w:p>
            <w:pPr>
              <w:pStyle w:val="Compact"/>
            </w:pPr>
            <w:r>
              <w:t xml:space="preserve">D2</w:t>
            </w:r>
          </w:p>
        </w:tc>
        <w:tc>
          <w:tcPr/>
          <w:p>
            <w:pPr>
              <w:pStyle w:val="Compact"/>
            </w:pPr>
            <w:r>
              <w:t xml:space="preserve">Does each API response carry a model version?</w:t>
            </w:r>
          </w:p>
        </w:tc>
        <w:tc>
          <w:tcPr/>
          <w:p>
            <w:pPr>
              <w:pStyle w:val="Compact"/>
            </w:pPr>
          </w:p>
        </w:tc>
        <w:tc>
          <w:tcPr/>
          <w:p>
            <w:pPr>
              <w:pStyle w:val="Compact"/>
            </w:pPr>
          </w:p>
        </w:tc>
      </w:tr>
      <w:tr>
        <w:tc>
          <w:tcPr/>
          <w:p>
            <w:pPr>
              <w:pStyle w:val="Compact"/>
            </w:pPr>
            <w:r>
              <w:t xml:space="preserve">D3</w:t>
            </w:r>
          </w:p>
        </w:tc>
        <w:tc>
          <w:tcPr/>
          <w:p>
            <w:pPr>
              <w:pStyle w:val="Compact"/>
            </w:pPr>
            <w:r>
              <w:t xml:space="preserve">Could the institution compute the model's performance by segment from records it already holds?</w:t>
            </w:r>
          </w:p>
        </w:tc>
        <w:tc>
          <w:tcPr/>
          <w:p>
            <w:pPr>
              <w:pStyle w:val="Compact"/>
            </w:pPr>
          </w:p>
        </w:tc>
        <w:tc>
          <w:tcPr/>
          <w:p>
            <w:pPr>
              <w:pStyle w:val="Compact"/>
            </w:pPr>
          </w:p>
        </w:tc>
      </w:tr>
    </w:tbl>
    <w:p>
      <w:pPr>
        <w:pStyle w:val="BodyText"/>
      </w:pPr>
      <w:r>
        <w:t xml:space="preserve">A no to either of the first two is a contract term still to be written. A no to the third means that when the vendor declines, the institution has nothing of its own to validate on.</w:t>
      </w:r>
    </w:p>
    <w:bookmarkStart w:id="25" w:name="X49cc855d3aeda21244b487ac8e67b4bbb4bf996"/>
    <w:p>
      <w:pPr>
        <w:pStyle w:val="Heading3"/>
      </w:pPr>
      <w:r>
        <w:t xml:space="preserve">D.1 The minimum record for an institution that only buys vendor APIs</w:t>
      </w:r>
    </w:p>
    <w:p>
      <w:pPr>
        <w:pStyle w:val="FirstParagraph"/>
      </w:pPr>
      <w:r>
        <w:t xml:space="preserve">The discipline's minimum, per call or per decision, is five fields (Chapter 9). Chapter 13's field table, under "Evidence: the record the build emits", is the full version.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D4</w:t>
            </w:r>
          </w:p>
        </w:tc>
        <w:tc>
          <w:tcPr/>
          <w:p>
            <w:pPr>
              <w:pStyle w:val="Compact"/>
            </w:pPr>
            <w:r>
              <w:t xml:space="preserve">The vendor's model or version identifier, as the response returned it, or the fact that it returned none</w:t>
            </w:r>
          </w:p>
        </w:tc>
        <w:tc>
          <w:tcPr/>
          <w:p>
            <w:pPr>
              <w:pStyle w:val="Compact"/>
            </w:pPr>
            <w:r>
              <w:t xml:space="preserve">The discipline's</w:t>
            </w:r>
          </w:p>
        </w:tc>
        <w:tc>
          <w:tcPr/>
          <w:p>
            <w:pPr>
              <w:pStyle w:val="Compact"/>
            </w:pPr>
          </w:p>
        </w:tc>
      </w:tr>
      <w:tr>
        <w:tc>
          <w:tcPr/>
          <w:p>
            <w:pPr>
              <w:pStyle w:val="Compact"/>
            </w:pPr>
            <w:r>
              <w:t xml:space="preserve">D5</w:t>
            </w:r>
          </w:p>
        </w:tc>
        <w:tc>
          <w:tcPr/>
          <w:p>
            <w:pPr>
              <w:pStyle w:val="Compact"/>
            </w:pPr>
            <w:r>
              <w:t xml:space="preserve">The input sent and the output received, or references to them</w:t>
            </w:r>
          </w:p>
        </w:tc>
        <w:tc>
          <w:tcPr/>
          <w:p>
            <w:pPr>
              <w:pStyle w:val="Compact"/>
            </w:pPr>
            <w:r>
              <w:t xml:space="preserve">The discipline's</w:t>
            </w:r>
          </w:p>
        </w:tc>
        <w:tc>
          <w:tcPr/>
          <w:p>
            <w:pPr>
              <w:pStyle w:val="Compact"/>
            </w:pPr>
          </w:p>
        </w:tc>
      </w:tr>
      <w:tr>
        <w:tc>
          <w:tcPr/>
          <w:p>
            <w:pPr>
              <w:pStyle w:val="Compact"/>
            </w:pPr>
            <w:r>
              <w:t xml:space="preserve">D6</w:t>
            </w:r>
          </w:p>
        </w:tc>
        <w:tc>
          <w:tcPr/>
          <w:p>
            <w:pPr>
              <w:pStyle w:val="Compact"/>
            </w:pPr>
            <w:r>
              <w:t xml:space="preserve">The institution's own decision on that output, with the threshold in force</w:t>
            </w:r>
          </w:p>
        </w:tc>
        <w:tc>
          <w:tcPr/>
          <w:p>
            <w:pPr>
              <w:pStyle w:val="Compact"/>
            </w:pPr>
            <w:r>
              <w:t xml:space="preserve">The discipline's</w:t>
            </w:r>
          </w:p>
        </w:tc>
        <w:tc>
          <w:tcPr/>
          <w:p>
            <w:pPr>
              <w:pStyle w:val="Compact"/>
            </w:pPr>
          </w:p>
        </w:tc>
      </w:tr>
      <w:tr>
        <w:tc>
          <w:tcPr/>
          <w:p>
            <w:pPr>
              <w:pStyle w:val="Compact"/>
            </w:pPr>
            <w:r>
              <w:t xml:space="preserve">D7</w:t>
            </w:r>
          </w:p>
        </w:tc>
        <w:tc>
          <w:tcPr/>
          <w:p>
            <w:pPr>
              <w:pStyle w:val="Compact"/>
            </w:pPr>
            <w:r>
              <w:t xml:space="preserve">The timestamp, from the institution's own clock</w:t>
            </w:r>
          </w:p>
        </w:tc>
        <w:tc>
          <w:tcPr/>
          <w:p>
            <w:pPr>
              <w:pStyle w:val="Compact"/>
            </w:pPr>
            <w:r>
              <w:t xml:space="preserve">The discipline's</w:t>
            </w:r>
          </w:p>
        </w:tc>
        <w:tc>
          <w:tcPr/>
          <w:p>
            <w:pPr>
              <w:pStyle w:val="Compact"/>
            </w:pPr>
          </w:p>
        </w:tc>
      </w:tr>
      <w:tr>
        <w:tc>
          <w:tcPr/>
          <w:p>
            <w:pPr>
              <w:pStyle w:val="Compact"/>
            </w:pPr>
            <w:r>
              <w:t xml:space="preserve">D8</w:t>
            </w:r>
          </w:p>
        </w:tc>
        <w:tc>
          <w:tcPr/>
          <w:p>
            <w:pPr>
              <w:pStyle w:val="Compact"/>
            </w:pPr>
            <w:r>
              <w:t xml:space="preserve">The contract term in force when the call was made</w:t>
            </w:r>
          </w:p>
        </w:tc>
        <w:tc>
          <w:tcPr/>
          <w:p>
            <w:pPr>
              <w:pStyle w:val="Compact"/>
            </w:pPr>
            <w:r>
              <w:t xml:space="preserve">The discipline's</w:t>
            </w:r>
          </w:p>
        </w:tc>
        <w:tc>
          <w:tcPr/>
          <w:p>
            <w:pPr>
              <w:pStyle w:val="Compact"/>
            </w:pPr>
          </w:p>
        </w:tc>
      </w:tr>
    </w:tbl>
    <w:p>
      <w:pPr>
        <w:pStyle w:val="BodyText"/>
      </w:pPr>
      <w:r>
        <w:t xml:space="preserve">A reference holds only while the vendor keeps what it points to. The record runs on the decision's clock: the institution keeps its own copy of any input it may be asked about later, or the reference is not enough. That copy is customer data, whose storage and disposal fall within E-21's definition of data risk, so its retention and access are set with the owners of the privacy obligations (Chapter 9).</w:t>
      </w:r>
    </w:p>
    <w:bookmarkEnd w:id="25"/>
    <w:bookmarkEnd w:id="26"/>
    <w:bookmarkStart w:id="27" w:name="part-e.-the-gate-decision"/>
    <w:p>
      <w:pPr>
        <w:pStyle w:val="Heading2"/>
      </w:pPr>
      <w:r>
        <w:t xml:space="preserve">Part E. The gate decision</w:t>
      </w:r>
    </w:p>
    <w:p>
      <w:pPr>
        <w:pStyle w:val="FirstParagraph"/>
      </w:pPr>
      <w:r>
        <w:t xml:space="preserve">A score does not decide. A named person decides, at a gate, and the three decisions available are the gate's: accept, reject, or accept with conditions, which the discipline calls passage, rejection and conditional passage (Chapter 9). The named person is the discipline's choice; E-23 allows the Model Approver to be a unit, an individual or a committee. E-23 permits conditional passage in its own terms: a model "may be approved despite identified weaknesses or limitations provided that compensating mitigants are in place, or the model stakeholder group provides justification for using a model with known limitations or weaknesses".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E1</w:t>
            </w:r>
          </w:p>
        </w:tc>
        <w:tc>
          <w:tcPr/>
          <w:p>
            <w:pPr>
              <w:pStyle w:val="Compact"/>
            </w:pPr>
            <w:r>
              <w:t xml:space="preserve">The gate: G1 (vendor clearance) or G4 (contractual controls in force)</w:t>
            </w:r>
          </w:p>
        </w:tc>
        <w:tc>
          <w:tcPr/>
          <w:p>
            <w:pPr>
              <w:pStyle w:val="Compact"/>
            </w:pPr>
            <w:r>
              <w:t xml:space="preserve">Five-Gate (Chapter 9)</w:t>
            </w:r>
          </w:p>
        </w:tc>
        <w:tc>
          <w:tcPr/>
          <w:p>
            <w:pPr>
              <w:pStyle w:val="Compact"/>
            </w:pPr>
          </w:p>
        </w:tc>
      </w:tr>
      <w:tr>
        <w:tc>
          <w:tcPr/>
          <w:p>
            <w:pPr>
              <w:pStyle w:val="Compact"/>
            </w:pPr>
            <w:r>
              <w:t xml:space="preserve">E2</w:t>
            </w:r>
          </w:p>
        </w:tc>
        <w:tc>
          <w:tcPr/>
          <w:p>
            <w:pPr>
              <w:pStyle w:val="Compact"/>
            </w:pPr>
            <w:r>
              <w:t xml:space="preserve">The named person who decides</w:t>
            </w:r>
          </w:p>
        </w:tc>
        <w:tc>
          <w:tcPr/>
          <w:p>
            <w:pPr>
              <w:pStyle w:val="Compact"/>
            </w:pPr>
            <w:r>
              <w:t xml:space="preserve">The discipline's</w:t>
            </w:r>
          </w:p>
        </w:tc>
        <w:tc>
          <w:tcPr/>
          <w:p>
            <w:pPr>
              <w:pStyle w:val="Compact"/>
            </w:pPr>
          </w:p>
        </w:tc>
      </w:tr>
      <w:tr>
        <w:tc>
          <w:tcPr/>
          <w:p>
            <w:pPr>
              <w:pStyle w:val="Compact"/>
            </w:pPr>
            <w:r>
              <w:t xml:space="preserve">E3</w:t>
            </w:r>
          </w:p>
        </w:tc>
        <w:tc>
          <w:tcPr/>
          <w:p>
            <w:pPr>
              <w:pStyle w:val="Compact"/>
            </w:pPr>
            <w:r>
              <w:t xml:space="preserve">Decision: passage, rejection or conditional passage</w:t>
            </w:r>
          </w:p>
        </w:tc>
        <w:tc>
          <w:tcPr/>
          <w:p>
            <w:pPr>
              <w:pStyle w:val="Compact"/>
            </w:pPr>
            <w:r>
              <w:t xml:space="preserve">The discipline's; E-23</w:t>
            </w:r>
          </w:p>
        </w:tc>
        <w:tc>
          <w:tcPr/>
          <w:p>
            <w:pPr>
              <w:pStyle w:val="Compact"/>
            </w:pPr>
          </w:p>
        </w:tc>
      </w:tr>
      <w:tr>
        <w:tc>
          <w:tcPr/>
          <w:p>
            <w:pPr>
              <w:pStyle w:val="Compact"/>
            </w:pPr>
            <w:r>
              <w:t xml:space="preserve">E4</w:t>
            </w:r>
          </w:p>
        </w:tc>
        <w:tc>
          <w:tcPr/>
          <w:p>
            <w:pPr>
              <w:pStyle w:val="Compact"/>
            </w:pPr>
            <w:r>
              <w:t xml:space="preserve">What rejection would mean on the day it is signed</w:t>
            </w:r>
          </w:p>
        </w:tc>
        <w:tc>
          <w:tcPr/>
          <w:p>
            <w:pPr>
              <w:pStyle w:val="Compact"/>
            </w:pPr>
            <w:r>
              <w:t xml:space="preserve">The discipline's (Chapter 9)</w:t>
            </w:r>
          </w:p>
        </w:tc>
        <w:tc>
          <w:tcPr/>
          <w:p>
            <w:pPr>
              <w:pStyle w:val="Compact"/>
            </w:pPr>
          </w:p>
        </w:tc>
      </w:tr>
      <w:tr>
        <w:tc>
          <w:tcPr/>
          <w:p>
            <w:pPr>
              <w:pStyle w:val="Compact"/>
            </w:pPr>
            <w:r>
              <w:t xml:space="preserve">E5</w:t>
            </w:r>
          </w:p>
        </w:tc>
        <w:tc>
          <w:tcPr/>
          <w:p>
            <w:pPr>
              <w:pStyle w:val="Compact"/>
            </w:pPr>
            <w:r>
              <w:t xml:space="preserve">The decision the record reverts to if a condition's term is refused, stated in advance</w:t>
            </w:r>
          </w:p>
        </w:tc>
        <w:tc>
          <w:tcPr/>
          <w:p>
            <w:pPr>
              <w:pStyle w:val="Compact"/>
            </w:pPr>
            <w:r>
              <w:t xml:space="preserve">The discipline's (Chapter 9)</w:t>
            </w:r>
          </w:p>
        </w:tc>
        <w:tc>
          <w:tcPr/>
          <w:p>
            <w:pPr>
              <w:pStyle w:val="Compact"/>
            </w:pPr>
          </w:p>
        </w:tc>
      </w:tr>
    </w:tbl>
    <w:p>
      <w:pPr>
        <w:pStyle w:val="BodyText"/>
      </w:pPr>
      <w:r>
        <w:rPr>
          <w:b/>
          <w:bCs/>
        </w:rPr>
        <w:t xml:space="preserve">Conditions as obligations.</w:t>
      </w:r>
      <w:r>
        <w:t xml:space="preserve"> </w:t>
      </w:r>
      <w:r>
        <w:t xml:space="preserve">The conditions are the Open questions turned into obligations, each with an owner and a date (Chapter 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Condition</w:t>
            </w:r>
          </w:p>
        </w:tc>
        <w:tc>
          <w:tcPr/>
          <w:p>
            <w:pPr>
              <w:pStyle w:val="Compact"/>
            </w:pPr>
            <w:r>
              <w:t xml:space="preserve">The Open or Asserted question it answers</w:t>
            </w:r>
          </w:p>
        </w:tc>
        <w:tc>
          <w:tcPr/>
          <w:p>
            <w:pPr>
              <w:pStyle w:val="Compact"/>
            </w:pPr>
            <w:r>
              <w:t xml:space="preserve">Owner</w:t>
            </w:r>
          </w:p>
        </w:tc>
        <w:tc>
          <w:tcPr/>
          <w:p>
            <w:pPr>
              <w:pStyle w:val="Compact"/>
            </w:pPr>
            <w:r>
              <w:t xml:space="preserve">Date</w:t>
            </w:r>
          </w:p>
        </w:tc>
      </w:tr>
      <w:tr>
        <w:tc>
          <w:tcPr/>
          <w:p>
            <w:pPr>
              <w:pStyle w:val="Compact"/>
            </w:pPr>
            <w:r>
              <w:t xml:space="preserve">E6</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E7</w:t>
            </w: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Where the provider offers only its standard terms.</w:t>
      </w:r>
      <w:r>
        <w:t xml:space="preserve"> </w:t>
      </w:r>
      <w:r>
        <w:t xml:space="preserve">Where those terms carry no notice before retraining, the substitute moves the notice out of the vendor's promise and into the institution's build (Chapter 9; B-10 foresees the contract that cannot be negotiated). For such a provider the discipline accepts the terms below, with the pin and the replay standing in for the notice clause, as G4's contractual controls in force, and the gate record names the substitution.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E8</w:t>
            </w:r>
          </w:p>
        </w:tc>
        <w:tc>
          <w:tcPr/>
          <w:p>
            <w:pPr>
              <w:pStyle w:val="Compact"/>
            </w:pPr>
            <w:r>
              <w:t xml:space="preserve">The pinned, dated snapshot the gateway calls, never an alias the provider may move</w:t>
            </w:r>
          </w:p>
        </w:tc>
        <w:tc>
          <w:tcPr/>
          <w:p>
            <w:pPr>
              <w:pStyle w:val="Compact"/>
            </w:pPr>
            <w:r>
              <w:t xml:space="preserve">The discipline's</w:t>
            </w:r>
          </w:p>
        </w:tc>
        <w:tc>
          <w:tcPr/>
          <w:p>
            <w:pPr>
              <w:pStyle w:val="Compact"/>
            </w:pPr>
          </w:p>
        </w:tc>
      </w:tr>
      <w:tr>
        <w:tc>
          <w:tcPr/>
          <w:p>
            <w:pPr>
              <w:pStyle w:val="Compact"/>
            </w:pPr>
            <w:r>
              <w:t xml:space="preserve">E9</w:t>
            </w:r>
          </w:p>
        </w:tc>
        <w:tc>
          <w:tcPr/>
          <w:p>
            <w:pPr>
              <w:pStyle w:val="Compact"/>
            </w:pPr>
            <w:r>
              <w:t xml:space="preserve">The provider's published deprecation date for that snapshot, entered as a trigger dated in advance</w:t>
            </w:r>
          </w:p>
        </w:tc>
        <w:tc>
          <w:tcPr/>
          <w:p>
            <w:pPr>
              <w:pStyle w:val="Compact"/>
            </w:pPr>
            <w:r>
              <w:t xml:space="preserve">The discipline's (Chapters 9, 13)</w:t>
            </w:r>
          </w:p>
        </w:tc>
        <w:tc>
          <w:tcPr/>
          <w:p>
            <w:pPr>
              <w:pStyle w:val="Compact"/>
            </w:pPr>
          </w:p>
        </w:tc>
      </w:tr>
      <w:tr>
        <w:tc>
          <w:tcPr/>
          <w:p>
            <w:pPr>
              <w:pStyle w:val="Compact"/>
            </w:pPr>
            <w:r>
              <w:t xml:space="preserve">E10</w:t>
            </w:r>
          </w:p>
        </w:tc>
        <w:tc>
          <w:tcPr/>
          <w:p>
            <w:pPr>
              <w:pStyle w:val="Compact"/>
            </w:pPr>
            <w:r>
              <w:t xml:space="preserve">The fixed evaluation set replayed against the endpoint (Chapter 10)</w:t>
            </w:r>
          </w:p>
        </w:tc>
        <w:tc>
          <w:tcPr/>
          <w:p>
            <w:pPr>
              <w:pStyle w:val="Compact"/>
            </w:pPr>
            <w:r>
              <w:t xml:space="preserve">The discipline's</w:t>
            </w:r>
          </w:p>
        </w:tc>
        <w:tc>
          <w:tcPr/>
          <w:p>
            <w:pPr>
              <w:pStyle w:val="Compact"/>
            </w:pPr>
          </w:p>
        </w:tc>
      </w:tr>
      <w:tr>
        <w:tc>
          <w:tcPr/>
          <w:p>
            <w:pPr>
              <w:pStyle w:val="Compact"/>
            </w:pPr>
            <w:r>
              <w:t xml:space="preserve">E11</w:t>
            </w:r>
          </w:p>
        </w:tc>
        <w:tc>
          <w:tcPr/>
          <w:p>
            <w:pPr>
              <w:pStyle w:val="Compact"/>
            </w:pPr>
            <w:r>
              <w:t xml:space="preserve">Contract term: a model version on every response</w:t>
            </w:r>
          </w:p>
        </w:tc>
        <w:tc>
          <w:tcPr/>
          <w:p>
            <w:pPr>
              <w:pStyle w:val="Compact"/>
            </w:pPr>
            <w:r>
              <w:t xml:space="preserve">The discipline's</w:t>
            </w:r>
          </w:p>
        </w:tc>
        <w:tc>
          <w:tcPr/>
          <w:p>
            <w:pPr>
              <w:pStyle w:val="Compact"/>
            </w:pPr>
          </w:p>
        </w:tc>
      </w:tr>
      <w:tr>
        <w:tc>
          <w:tcPr/>
          <w:p>
            <w:pPr>
              <w:pStyle w:val="Compact"/>
            </w:pPr>
            <w:r>
              <w:t xml:space="preserve">E12</w:t>
            </w:r>
          </w:p>
        </w:tc>
        <w:tc>
          <w:tcPr/>
          <w:p>
            <w:pPr>
              <w:pStyle w:val="Compact"/>
            </w:pPr>
            <w:r>
              <w:t xml:space="preserve">Contract term: the subprocessors named</w:t>
            </w:r>
          </w:p>
        </w:tc>
        <w:tc>
          <w:tcPr/>
          <w:p>
            <w:pPr>
              <w:pStyle w:val="Compact"/>
            </w:pPr>
            <w:r>
              <w:t xml:space="preserve">The discipline's</w:t>
            </w:r>
          </w:p>
        </w:tc>
        <w:tc>
          <w:tcPr/>
          <w:p>
            <w:pPr>
              <w:pStyle w:val="Compact"/>
            </w:pPr>
          </w:p>
        </w:tc>
      </w:tr>
      <w:tr>
        <w:tc>
          <w:tcPr/>
          <w:p>
            <w:pPr>
              <w:pStyle w:val="Compact"/>
            </w:pPr>
            <w:r>
              <w:t xml:space="preserve">E13</w:t>
            </w:r>
          </w:p>
        </w:tc>
        <w:tc>
          <w:tcPr/>
          <w:p>
            <w:pPr>
              <w:pStyle w:val="Compact"/>
            </w:pPr>
            <w:r>
              <w:t xml:space="preserve">Contract term: the length of the deprecation window</w:t>
            </w:r>
          </w:p>
        </w:tc>
        <w:tc>
          <w:tcPr/>
          <w:p>
            <w:pPr>
              <w:pStyle w:val="Compact"/>
            </w:pPr>
            <w:r>
              <w:t xml:space="preserve">The discipline's</w:t>
            </w:r>
          </w:p>
        </w:tc>
        <w:tc>
          <w:tcPr/>
          <w:p>
            <w:pPr>
              <w:pStyle w:val="Compact"/>
            </w:pPr>
          </w:p>
        </w:tc>
      </w:tr>
      <w:tr>
        <w:tc>
          <w:tcPr/>
          <w:p>
            <w:pPr>
              <w:pStyle w:val="Compact"/>
            </w:pPr>
            <w:r>
              <w:t xml:space="preserve">E14</w:t>
            </w:r>
          </w:p>
        </w:tc>
        <w:tc>
          <w:tcPr/>
          <w:p>
            <w:pPr>
              <w:pStyle w:val="Compact"/>
            </w:pPr>
            <w:r>
              <w:t xml:space="preserve">Contract term: incident terms under B-10</w:t>
            </w:r>
          </w:p>
        </w:tc>
        <w:tc>
          <w:tcPr/>
          <w:p>
            <w:pPr>
              <w:pStyle w:val="Compact"/>
            </w:pPr>
            <w:r>
              <w:t xml:space="preserve">B-10</w:t>
            </w:r>
          </w:p>
        </w:tc>
        <w:tc>
          <w:tcPr/>
          <w:p>
            <w:pPr>
              <w:pStyle w:val="Compact"/>
            </w:pPr>
          </w:p>
        </w:tc>
      </w:tr>
      <w:tr>
        <w:tc>
          <w:tcPr/>
          <w:p>
            <w:pPr>
              <w:pStyle w:val="Compact"/>
            </w:pPr>
            <w:r>
              <w:t xml:space="preserve">E15</w:t>
            </w:r>
          </w:p>
        </w:tc>
        <w:tc>
          <w:tcPr/>
          <w:p>
            <w:pPr>
              <w:pStyle w:val="Compact"/>
            </w:pPr>
            <w:r>
              <w:t xml:space="preserve">Contract term: exit</w:t>
            </w:r>
          </w:p>
        </w:tc>
        <w:tc>
          <w:tcPr/>
          <w:p>
            <w:pPr>
              <w:pStyle w:val="Compact"/>
            </w:pPr>
            <w:r>
              <w:t xml:space="preserve">AVRF stage (Chapter 9)</w:t>
            </w:r>
          </w:p>
        </w:tc>
        <w:tc>
          <w:tcPr/>
          <w:p>
            <w:pPr>
              <w:pStyle w:val="Compact"/>
            </w:pPr>
          </w:p>
        </w:tc>
      </w:tr>
      <w:tr>
        <w:tc>
          <w:tcPr/>
          <w:p>
            <w:pPr>
              <w:pStyle w:val="Compact"/>
            </w:pPr>
            <w:r>
              <w:t xml:space="preserve">E16</w:t>
            </w:r>
          </w:p>
        </w:tc>
        <w:tc>
          <w:tcPr/>
          <w:p>
            <w:pPr>
              <w:pStyle w:val="Compact"/>
            </w:pPr>
            <w:r>
              <w:t xml:space="preserve">The substitution, named in the gate record</w:t>
            </w:r>
          </w:p>
        </w:tc>
        <w:tc>
          <w:tcPr/>
          <w:p>
            <w:pPr>
              <w:pStyle w:val="Compact"/>
            </w:pPr>
            <w:r>
              <w:t xml:space="preserve">The discipline's</w:t>
            </w:r>
          </w:p>
        </w:tc>
        <w:tc>
          <w:tcPr/>
          <w:p>
            <w:pPr>
              <w:pStyle w:val="Compact"/>
            </w:pPr>
          </w:p>
        </w:tc>
      </w:tr>
    </w:tbl>
    <w:bookmarkEnd w:id="27"/>
    <w:bookmarkStart w:id="28" w:name="Xfbafa4613c4128702894befcd9fc31f03dec284"/>
    <w:p>
      <w:pPr>
        <w:pStyle w:val="Heading2"/>
      </w:pPr>
      <w:r>
        <w:t xml:space="preserve">Part F. Residual risk, inside risk appetite</w:t>
      </w:r>
    </w:p>
    <w:p>
      <w:pPr>
        <w:pStyle w:val="FirstParagraph"/>
      </w:pPr>
      <w:r>
        <w:t xml:space="preserve">"Residual model risk" is a defined term in E-23, approval affirms the residual risk assessment, and "In cases where model risk falls outside the institution's risk appetite, the institution should establish appropriate remediation actions." OSFI's letter puts the same obligation on the institution for third-party models: to ensure that their use is within the institution's risk appetite limit. B-10 asks that the guideline be applied in proportion to the risk and criticality of each arrangement and to the institution's own size and profile.</w:t>
      </w:r>
    </w:p>
    <w:p>
      <w:pPr>
        <w:pStyle w:val="BodyText"/>
      </w:pPr>
      <w:r>
        <w:t xml:space="preserve">The residual-risk record for a vendor that falls short carries the following (Chapter 9).</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F1</w:t>
            </w:r>
          </w:p>
        </w:tc>
        <w:tc>
          <w:tcPr/>
          <w:p>
            <w:pPr>
              <w:pStyle w:val="Compact"/>
            </w:pPr>
            <w:r>
              <w:t xml:space="preserve">The classification</w:t>
            </w:r>
          </w:p>
        </w:tc>
        <w:tc>
          <w:tcPr/>
          <w:p>
            <w:pPr>
              <w:pStyle w:val="Compact"/>
            </w:pPr>
            <w:r>
              <w:t xml:space="preserve">The discipline's (Chapter 9)</w:t>
            </w:r>
          </w:p>
        </w:tc>
        <w:tc>
          <w:tcPr/>
          <w:p>
            <w:pPr>
              <w:pStyle w:val="Compact"/>
            </w:pPr>
          </w:p>
        </w:tc>
      </w:tr>
      <w:tr>
        <w:tc>
          <w:tcPr/>
          <w:p>
            <w:pPr>
              <w:pStyle w:val="Compact"/>
            </w:pPr>
            <w:r>
              <w:t xml:space="preserve">F2</w:t>
            </w:r>
          </w:p>
        </w:tc>
        <w:tc>
          <w:tcPr/>
          <w:p>
            <w:pPr>
              <w:pStyle w:val="Compact"/>
            </w:pPr>
            <w:r>
              <w:t xml:space="preserve">The two ratios</w:t>
            </w:r>
          </w:p>
        </w:tc>
        <w:tc>
          <w:tcPr/>
          <w:p>
            <w:pPr>
              <w:pStyle w:val="Compact"/>
            </w:pPr>
            <w:r>
              <w:t xml:space="preserve">The discipline's</w:t>
            </w:r>
          </w:p>
        </w:tc>
        <w:tc>
          <w:tcPr/>
          <w:p>
            <w:pPr>
              <w:pStyle w:val="Compact"/>
            </w:pPr>
          </w:p>
        </w:tc>
      </w:tr>
      <w:tr>
        <w:tc>
          <w:tcPr/>
          <w:p>
            <w:pPr>
              <w:pStyle w:val="Compact"/>
            </w:pPr>
            <w:r>
              <w:t xml:space="preserve">F3</w:t>
            </w:r>
          </w:p>
        </w:tc>
        <w:tc>
          <w:tcPr/>
          <w:p>
            <w:pPr>
              <w:pStyle w:val="Compact"/>
            </w:pPr>
            <w:r>
              <w:t xml:space="preserve">The declined questions, with the vendor's stated reasons</w:t>
            </w:r>
          </w:p>
        </w:tc>
        <w:tc>
          <w:tcPr/>
          <w:p>
            <w:pPr>
              <w:pStyle w:val="Compact"/>
            </w:pPr>
            <w:r>
              <w:t xml:space="preserve">The discipline's</w:t>
            </w:r>
          </w:p>
        </w:tc>
        <w:tc>
          <w:tcPr/>
          <w:p>
            <w:pPr>
              <w:pStyle w:val="Compact"/>
            </w:pPr>
          </w:p>
        </w:tc>
      </w:tr>
      <w:tr>
        <w:tc>
          <w:tcPr/>
          <w:p>
            <w:pPr>
              <w:pStyle w:val="Compact"/>
            </w:pPr>
            <w:r>
              <w:t xml:space="preserve">F4</w:t>
            </w:r>
          </w:p>
        </w:tc>
        <w:tc>
          <w:tcPr/>
          <w:p>
            <w:pPr>
              <w:pStyle w:val="Compact"/>
            </w:pPr>
            <w:r>
              <w:t xml:space="preserve">The compensating controls, each with its owner</w:t>
            </w:r>
          </w:p>
        </w:tc>
        <w:tc>
          <w:tcPr/>
          <w:p>
            <w:pPr>
              <w:pStyle w:val="Compact"/>
            </w:pPr>
            <w:r>
              <w:t xml:space="preserve">The discipline's</w:t>
            </w:r>
          </w:p>
        </w:tc>
        <w:tc>
          <w:tcPr/>
          <w:p>
            <w:pPr>
              <w:pStyle w:val="Compact"/>
            </w:pPr>
          </w:p>
        </w:tc>
      </w:tr>
      <w:tr>
        <w:tc>
          <w:tcPr/>
          <w:p>
            <w:pPr>
              <w:pStyle w:val="Compact"/>
            </w:pPr>
            <w:r>
              <w:t xml:space="preserve">F5</w:t>
            </w:r>
          </w:p>
        </w:tc>
        <w:tc>
          <w:tcPr/>
          <w:p>
            <w:pPr>
              <w:pStyle w:val="Compact"/>
            </w:pPr>
            <w:r>
              <w:t xml:space="preserve">What the controls do not cover, stated as a limit on reliance</w:t>
            </w:r>
          </w:p>
        </w:tc>
        <w:tc>
          <w:tcPr/>
          <w:p>
            <w:pPr>
              <w:pStyle w:val="Compact"/>
            </w:pPr>
            <w:r>
              <w:t xml:space="preserve">The discipline's</w:t>
            </w:r>
          </w:p>
        </w:tc>
        <w:tc>
          <w:tcPr/>
          <w:p>
            <w:pPr>
              <w:pStyle w:val="Compact"/>
            </w:pPr>
          </w:p>
        </w:tc>
      </w:tr>
      <w:tr>
        <w:tc>
          <w:tcPr/>
          <w:p>
            <w:pPr>
              <w:pStyle w:val="Compact"/>
            </w:pPr>
            <w:r>
              <w:t xml:space="preserve">F6</w:t>
            </w:r>
          </w:p>
        </w:tc>
        <w:tc>
          <w:tcPr/>
          <w:p>
            <w:pPr>
              <w:pStyle w:val="Compact"/>
            </w:pPr>
            <w:r>
              <w:t xml:space="preserve">The residual risk after the controls, placed against its appetite statement</w:t>
            </w:r>
          </w:p>
        </w:tc>
        <w:tc>
          <w:tcPr/>
          <w:p>
            <w:pPr>
              <w:pStyle w:val="Compact"/>
            </w:pPr>
            <w:r>
              <w:t xml:space="preserve">The discipline's; E-23</w:t>
            </w:r>
          </w:p>
        </w:tc>
        <w:tc>
          <w:tcPr/>
          <w:p>
            <w:pPr>
              <w:pStyle w:val="Compact"/>
            </w:pPr>
          </w:p>
        </w:tc>
      </w:tr>
      <w:tr>
        <w:tc>
          <w:tcPr/>
          <w:p>
            <w:pPr>
              <w:pStyle w:val="Compact"/>
            </w:pPr>
            <w:r>
              <w:t xml:space="preserve">F7</w:t>
            </w:r>
          </w:p>
        </w:tc>
        <w:tc>
          <w:tcPr/>
          <w:p>
            <w:pPr>
              <w:pStyle w:val="Compact"/>
            </w:pPr>
            <w:r>
              <w:t xml:space="preserve">The name of the person who accepted it</w:t>
            </w:r>
          </w:p>
        </w:tc>
        <w:tc>
          <w:tcPr/>
          <w:p>
            <w:pPr>
              <w:pStyle w:val="Compact"/>
            </w:pPr>
            <w:r>
              <w:t xml:space="preserve">The discipline's</w:t>
            </w:r>
          </w:p>
        </w:tc>
        <w:tc>
          <w:tcPr/>
          <w:p>
            <w:pPr>
              <w:pStyle w:val="Compact"/>
            </w:pPr>
          </w:p>
        </w:tc>
      </w:tr>
      <w:tr>
        <w:tc>
          <w:tcPr/>
          <w:p>
            <w:pPr>
              <w:pStyle w:val="Compact"/>
            </w:pPr>
            <w:r>
              <w:t xml:space="preserve">F8</w:t>
            </w:r>
          </w:p>
        </w:tc>
        <w:tc>
          <w:tcPr/>
          <w:p>
            <w:pPr>
              <w:pStyle w:val="Compact"/>
            </w:pPr>
            <w:r>
              <w:t xml:space="preserve">The date the acceptance expires</w:t>
            </w:r>
          </w:p>
        </w:tc>
        <w:tc>
          <w:tcPr/>
          <w:p>
            <w:pPr>
              <w:pStyle w:val="Compact"/>
            </w:pPr>
            <w:r>
              <w:t xml:space="preserve">The discipline's</w:t>
            </w:r>
          </w:p>
        </w:tc>
        <w:tc>
          <w:tcPr/>
          <w:p>
            <w:pPr>
              <w:pStyle w:val="Compact"/>
            </w:pPr>
          </w:p>
        </w:tc>
      </w:tr>
    </w:tbl>
    <w:p>
      <w:pPr>
        <w:pStyle w:val="BodyText"/>
      </w:pPr>
      <w:r>
        <w:t xml:space="preserve">Written in the shape Chapter 6 gave every gate record, the record also declares the following.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Field</w:t>
            </w:r>
          </w:p>
        </w:tc>
        <w:tc>
          <w:tcPr/>
          <w:p>
            <w:pPr>
              <w:pStyle w:val="Compact"/>
            </w:pPr>
            <w:r>
              <w:t xml:space="preserve">Entry</w:t>
            </w:r>
          </w:p>
        </w:tc>
      </w:tr>
      <w:tr>
        <w:tc>
          <w:tcPr/>
          <w:p>
            <w:pPr>
              <w:pStyle w:val="Compact"/>
            </w:pPr>
            <w:r>
              <w:t xml:space="preserve">F9</w:t>
            </w:r>
          </w:p>
        </w:tc>
        <w:tc>
          <w:tcPr/>
          <w:p>
            <w:pPr>
              <w:pStyle w:val="Compact"/>
            </w:pPr>
            <w:r>
              <w:t xml:space="preserve">Boundary fixed</w:t>
            </w:r>
          </w:p>
        </w:tc>
        <w:tc>
          <w:tcPr/>
          <w:p>
            <w:pPr>
              <w:pStyle w:val="Compact"/>
            </w:pPr>
          </w:p>
        </w:tc>
      </w:tr>
      <w:tr>
        <w:tc>
          <w:tcPr/>
          <w:p>
            <w:pPr>
              <w:pStyle w:val="Compact"/>
            </w:pPr>
            <w:r>
              <w:t xml:space="preserve">F10</w:t>
            </w:r>
          </w:p>
        </w:tc>
        <w:tc>
          <w:tcPr/>
          <w:p>
            <w:pPr>
              <w:pStyle w:val="Compact"/>
            </w:pPr>
            <w:r>
              <w:t xml:space="preserve">Optimizer freed</w:t>
            </w:r>
          </w:p>
        </w:tc>
        <w:tc>
          <w:tcPr/>
          <w:p>
            <w:pPr>
              <w:pStyle w:val="Compact"/>
            </w:pPr>
          </w:p>
        </w:tc>
      </w:tr>
      <w:tr>
        <w:tc>
          <w:tcPr/>
          <w:p>
            <w:pPr>
              <w:pStyle w:val="Compact"/>
            </w:pPr>
            <w:r>
              <w:t xml:space="preserve">F11</w:t>
            </w:r>
          </w:p>
        </w:tc>
        <w:tc>
          <w:tcPr/>
          <w:p>
            <w:pPr>
              <w:pStyle w:val="Compact"/>
            </w:pPr>
            <w:r>
              <w:t xml:space="preserve">Evidence that the boundary held</w:t>
            </w:r>
          </w:p>
        </w:tc>
        <w:tc>
          <w:tcPr/>
          <w:p>
            <w:pPr>
              <w:pStyle w:val="Compact"/>
            </w:pPr>
          </w:p>
        </w:tc>
      </w:tr>
    </w:tbl>
    <w:p>
      <w:pPr>
        <w:pStyle w:val="BodyText"/>
      </w:pPr>
      <w:r>
        <w:rPr>
          <w:b/>
          <w:bCs/>
        </w:rPr>
        <w:t xml:space="preserve">Where a validation cannot yet be completed.</w:t>
      </w:r>
      <w:r>
        <w:t xml:space="preserve"> </w:t>
      </w:r>
      <w:r>
        <w:t xml:space="preserve">The letter's exceptions policy is the frame for keeping the model in use, under a limit, while the outcome test runs.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Field</w:t>
            </w:r>
          </w:p>
        </w:tc>
        <w:tc>
          <w:tcPr/>
          <w:p>
            <w:pPr>
              <w:pStyle w:val="Compact"/>
            </w:pPr>
            <w:r>
              <w:t xml:space="preserve">Basis</w:t>
            </w:r>
          </w:p>
        </w:tc>
        <w:tc>
          <w:tcPr/>
          <w:p>
            <w:pPr>
              <w:pStyle w:val="Compact"/>
            </w:pPr>
            <w:r>
              <w:t xml:space="preserve">Entry</w:t>
            </w:r>
          </w:p>
        </w:tc>
      </w:tr>
      <w:tr>
        <w:tc>
          <w:tcPr/>
          <w:p>
            <w:pPr>
              <w:pStyle w:val="Compact"/>
            </w:pPr>
            <w:r>
              <w:t xml:space="preserve">F12</w:t>
            </w:r>
          </w:p>
        </w:tc>
        <w:tc>
          <w:tcPr/>
          <w:p>
            <w:pPr>
              <w:pStyle w:val="Compact"/>
            </w:pPr>
            <w:r>
              <w:t xml:space="preserve">The exception: the limited and specific application, and its start date</w:t>
            </w:r>
          </w:p>
        </w:tc>
        <w:tc>
          <w:tcPr/>
          <w:p>
            <w:pPr>
              <w:pStyle w:val="Compact"/>
            </w:pPr>
            <w:r>
              <w:t xml:space="preserve">E-23</w:t>
            </w:r>
          </w:p>
        </w:tc>
        <w:tc>
          <w:tcPr/>
          <w:p>
            <w:pPr>
              <w:pStyle w:val="Compact"/>
            </w:pPr>
          </w:p>
        </w:tc>
      </w:tr>
      <w:tr>
        <w:tc>
          <w:tcPr/>
          <w:p>
            <w:pPr>
              <w:pStyle w:val="Compact"/>
            </w:pPr>
            <w:r>
              <w:t xml:space="preserve">F13</w:t>
            </w:r>
          </w:p>
        </w:tc>
        <w:tc>
          <w:tcPr/>
          <w:p>
            <w:pPr>
              <w:pStyle w:val="Compact"/>
            </w:pPr>
            <w:r>
              <w:t xml:space="preserve">The outcome test that serves as the validation, with its control sample</w:t>
            </w:r>
          </w:p>
        </w:tc>
        <w:tc>
          <w:tcPr/>
          <w:p>
            <w:pPr>
              <w:pStyle w:val="Compact"/>
            </w:pPr>
            <w:r>
              <w:t xml:space="preserve">The discipline's (Chapter 9)</w:t>
            </w:r>
          </w:p>
        </w:tc>
        <w:tc>
          <w:tcPr/>
          <w:p>
            <w:pPr>
              <w:pStyle w:val="Compact"/>
            </w:pPr>
          </w:p>
        </w:tc>
      </w:tr>
      <w:tr>
        <w:tc>
          <w:tcPr/>
          <w:p>
            <w:pPr>
              <w:pStyle w:val="Compact"/>
            </w:pPr>
            <w:r>
              <w:t xml:space="preserve">F14</w:t>
            </w:r>
          </w:p>
        </w:tc>
        <w:tc>
          <w:tcPr/>
          <w:p>
            <w:pPr>
              <w:pStyle w:val="Compact"/>
            </w:pPr>
            <w:r>
              <w:t xml:space="preserve">The date fixed for the decision, on which the exception closes into passage or reverts into rejection</w:t>
            </w:r>
          </w:p>
        </w:tc>
        <w:tc>
          <w:tcPr/>
          <w:p>
            <w:pPr>
              <w:pStyle w:val="Compact"/>
            </w:pPr>
            <w:r>
              <w:t xml:space="preserve">The discipline's (Chapter 9)</w:t>
            </w:r>
          </w:p>
        </w:tc>
        <w:tc>
          <w:tcPr/>
          <w:p>
            <w:pPr>
              <w:pStyle w:val="Compact"/>
            </w:pPr>
          </w:p>
        </w:tc>
      </w:tr>
    </w:tbl>
    <w:bookmarkEnd w:id="28"/>
    <w:bookmarkStart w:id="29" w:name="X0362fd2d9449fe6b7b13d9beb87c50192084f14"/>
    <w:p>
      <w:pPr>
        <w:pStyle w:val="Heading2"/>
      </w:pPr>
      <w:r>
        <w:t xml:space="preserve">The claim, the test, the artifact (Chapter 9)</w:t>
      </w:r>
    </w:p>
    <w:p>
      <w:pPr>
        <w:pStyle w:val="FirstParagraph"/>
      </w:pPr>
      <w:r>
        <w:rPr>
          <w:b/>
          <w:bCs/>
        </w:rPr>
        <w:t xml:space="preserve">The claim.</w:t>
      </w:r>
      <w:r>
        <w:t xml:space="preserve"> </w:t>
      </w:r>
      <w:r>
        <w:t xml:space="preserve">When a vendor refuses to share its method, the institution validates on the outcomes it already holds.</w:t>
      </w:r>
    </w:p>
    <w:p>
      <w:pPr>
        <w:pStyle w:val="BodyText"/>
      </w:pPr>
      <w:r>
        <w:rPr>
          <w:b/>
          <w:bCs/>
        </w:rPr>
        <w:t xml:space="preserve">The test.</w:t>
      </w:r>
      <w:r>
        <w:t xml:space="preserve"> </w:t>
      </w:r>
      <w:r>
        <w:t xml:space="preserve">From one contract and one API response: does the contract require notice before a retrain or rescale, does each response carry a model version, and could your own records yield performance by segment?</w:t>
      </w:r>
    </w:p>
    <w:p>
      <w:pPr>
        <w:pStyle w:val="BodyText"/>
      </w:pPr>
      <w:r>
        <w:rPr>
          <w:b/>
          <w:bCs/>
        </w:rPr>
        <w:t xml:space="preserve">The artifact.</w:t>
      </w:r>
      <w:r>
        <w:t xml:space="preserve"> </w:t>
      </w:r>
      <w:r>
        <w:t xml:space="preserve">One vendor scored, with a gate decision.</w:t>
      </w:r>
    </w:p>
    <w:p>
      <w:r>
        <w:pict>
          <v:rect style="width:0;height:1.5pt" o:hralign="center" o:hrstd="t" o:hr="t"/>
        </w:pict>
      </w:r>
    </w:p>
    <w:bookmarkEnd w:id="29"/>
    <w:bookmarkEnd w:id="30"/>
    <w:bookmarkStart w:id="38" w:name="X830903983ef3cee2f277464da1c8170146aa12d"/>
    <w:p>
      <w:pPr>
        <w:pStyle w:val="Heading1"/>
      </w:pPr>
      <w:r>
        <w:t xml:space="preserve">Worked example: Pellbrook, Cairn from Kelso Analytics</w:t>
      </w:r>
    </w:p>
    <w:p>
      <w:pPr>
        <w:pStyle w:val="FirstParagraph"/>
      </w:pPr>
      <w:r>
        <w:rPr>
          <w:b/>
          <w:bCs/>
        </w:rPr>
        <w:t xml:space="preserve">Pellbrook is fictional.</w:t>
      </w:r>
      <w:r>
        <w:t xml:space="preserve"> </w:t>
      </w:r>
      <w:r>
        <w:t xml:space="preserve">The institutions, systems, people and incidents in the book are fictional composites constructed to teach; they are not drawn from any real institution, incident or client engagement. Every value below is a fact the book states about Pellbrook; where the book does not give a value, the field says so. Kelso's response is shaped in Chapter 9 from the case's stated declines and its aggregate figure; no answer of Kelso's is invented here.</w:t>
      </w:r>
    </w:p>
    <w:p>
      <w:pPr>
        <w:pStyle w:val="BodyText"/>
      </w:pPr>
      <w:r>
        <w:rPr>
          <w:b/>
          <w:bCs/>
        </w:rPr>
        <w:t xml:space="preserve">The system.</w:t>
      </w:r>
      <w:r>
        <w:t xml:space="preserve"> </w:t>
      </w:r>
      <w:r>
        <w:t xml:space="preserve">Cairn, a vendor-hosted score from Kelso Analytics, called by API on each application, decides which of Pellbrook's broker-submitted mortgage applications go to enhanced verification. A score from 0 to 1,000 that routes an application to enhanced verification is a result under E-23's definition. Pellbrook bought Cairn as a fraud tool; the Chief Operating Officer signed the contract on 15 December 2024 under the vendor policy, and model risk was not consulted; the system was live on 3 February 2025 (Chapter 9).</w:t>
      </w:r>
    </w:p>
    <w:bookmarkStart w:id="31" w:name="the-five-stages-as-pellbrook-stood"/>
    <w:p>
      <w:pPr>
        <w:pStyle w:val="Heading2"/>
      </w:pPr>
      <w:r>
        <w:t xml:space="preserve">The five stages, as Pellbrook stood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Stage</w:t>
            </w:r>
          </w:p>
        </w:tc>
        <w:tc>
          <w:tcPr/>
          <w:p>
            <w:pPr>
              <w:pStyle w:val="Compact"/>
            </w:pPr>
            <w:r>
              <w:t xml:space="preserve">Pellbrook (Chapter 9)</w:t>
            </w:r>
          </w:p>
        </w:tc>
      </w:tr>
      <w:tr>
        <w:tc>
          <w:tcPr/>
          <w:p>
            <w:pPr>
              <w:pStyle w:val="Compact"/>
            </w:pPr>
            <w:r>
              <w:t xml:space="preserve">Classify</w:t>
            </w:r>
          </w:p>
        </w:tc>
        <w:tc>
          <w:tcPr/>
          <w:p>
            <w:pPr>
              <w:pStyle w:val="Compact"/>
            </w:pPr>
            <w:r>
              <w:t xml:space="preserve">Never done, because the fraud-tool category closed the question</w:t>
            </w:r>
          </w:p>
        </w:tc>
      </w:tr>
      <w:tr>
        <w:tc>
          <w:tcPr/>
          <w:p>
            <w:pPr>
              <w:pStyle w:val="Compact"/>
            </w:pPr>
            <w:r>
              <w:t xml:space="preserve">Diligence</w:t>
            </w:r>
          </w:p>
        </w:tc>
        <w:tc>
          <w:tcPr/>
          <w:p>
            <w:pPr>
              <w:pStyle w:val="Compact"/>
            </w:pPr>
            <w:r>
              <w:t xml:space="preserve">A two-page overview and an annual third-party assurance report</w:t>
            </w:r>
          </w:p>
        </w:tc>
      </w:tr>
      <w:tr>
        <w:tc>
          <w:tcPr/>
          <w:p>
            <w:pPr>
              <w:pStyle w:val="Compact"/>
            </w:pPr>
            <w:r>
              <w:t xml:space="preserve">Contract</w:t>
            </w:r>
          </w:p>
        </w:tc>
        <w:tc>
          <w:tcPr/>
          <w:p>
            <w:pPr>
              <w:pStyle w:val="Compact"/>
            </w:pPr>
            <w:r>
              <w:t xml:space="preserve">No term on model change or notification</w:t>
            </w:r>
          </w:p>
        </w:tc>
      </w:tr>
      <w:tr>
        <w:tc>
          <w:tcPr/>
          <w:p>
            <w:pPr>
              <w:pStyle w:val="Compact"/>
            </w:pPr>
            <w:r>
              <w:t xml:space="preserve">Monitor</w:t>
            </w:r>
          </w:p>
        </w:tc>
        <w:tc>
          <w:tcPr/>
          <w:p>
            <w:pPr>
              <w:pStyle w:val="Compact"/>
            </w:pPr>
            <w:r>
              <w:t xml:space="preserve">Uptime and API latency, owned by IT, which watches the connection and not the model</w:t>
            </w:r>
          </w:p>
        </w:tc>
      </w:tr>
      <w:tr>
        <w:tc>
          <w:tcPr/>
          <w:p>
            <w:pPr>
              <w:pStyle w:val="Compact"/>
            </w:pPr>
            <w:r>
              <w:t xml:space="preserve">Exit</w:t>
            </w:r>
          </w:p>
        </w:tc>
        <w:tc>
          <w:tcPr/>
          <w:p>
            <w:pPr>
              <w:pStyle w:val="Compact"/>
            </w:pPr>
            <w:r>
              <w:t xml:space="preserve">Nothing, because nobody had asked how Pellbrook would leave</w:t>
            </w:r>
          </w:p>
        </w:tc>
      </w:tr>
    </w:tbl>
    <w:p>
      <w:pPr>
        <w:pStyle w:val="BodyText"/>
      </w:pPr>
      <w:r>
        <w:t xml:space="preserve">Internal audit found no approval record, validation evidence or version history on 12 January 2026.</w:t>
      </w:r>
    </w:p>
    <w:bookmarkEnd w:id="31"/>
    <w:bookmarkStart w:id="32" w:name="part-a.-classification"/>
    <w:p>
      <w:pPr>
        <w:pStyle w:val="Heading2"/>
      </w:pPr>
      <w:r>
        <w:t xml:space="preserve">Part A. Classification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Pellbrook</w:t>
            </w:r>
          </w:p>
        </w:tc>
      </w:tr>
      <w:tr>
        <w:tc>
          <w:tcPr/>
          <w:p>
            <w:pPr>
              <w:pStyle w:val="Compact"/>
            </w:pPr>
            <w:r>
              <w:t xml:space="preserve">Business criticality</w:t>
            </w:r>
          </w:p>
        </w:tc>
        <w:tc>
          <w:tcPr/>
          <w:p>
            <w:pPr>
              <w:pStyle w:val="Compact"/>
            </w:pPr>
            <w:r>
              <w:t xml:space="preserve">[not stated in the book]</w:t>
            </w:r>
          </w:p>
        </w:tc>
      </w:tr>
      <w:tr>
        <w:tc>
          <w:tcPr/>
          <w:p>
            <w:pPr>
              <w:pStyle w:val="Compact"/>
            </w:pPr>
            <w:r>
              <w:t xml:space="preserve">Data exposure</w:t>
            </w:r>
          </w:p>
        </w:tc>
        <w:tc>
          <w:tcPr/>
          <w:p>
            <w:pPr>
              <w:pStyle w:val="Compact"/>
            </w:pPr>
            <w:r>
              <w:t xml:space="preserve">Cairn processes personal data (Chapter 9)</w:t>
            </w:r>
          </w:p>
        </w:tc>
      </w:tr>
      <w:tr>
        <w:tc>
          <w:tcPr/>
          <w:p>
            <w:pPr>
              <w:pStyle w:val="Compact"/>
            </w:pPr>
            <w:r>
              <w:t xml:space="preserve">Autonomy over institutional decisions</w:t>
            </w:r>
          </w:p>
        </w:tc>
        <w:tc>
          <w:tcPr/>
          <w:p>
            <w:pPr>
              <w:pStyle w:val="Compact"/>
            </w:pPr>
            <w:r>
              <w:t xml:space="preserve">[not stated in the book as an AVRF rating]; below the routing threshold no person reviews the file for misrepresentation (Chapter 1)</w:t>
            </w:r>
          </w:p>
        </w:tc>
      </w:tr>
      <w:tr>
        <w:tc>
          <w:tcPr/>
          <w:p>
            <w:pPr>
              <w:pStyle w:val="Compact"/>
            </w:pPr>
            <w:r>
              <w:t xml:space="preserve">Capability class</w:t>
            </w:r>
          </w:p>
        </w:tc>
        <w:tc>
          <w:tcPr/>
          <w:p>
            <w:pPr>
              <w:pStyle w:val="Compact"/>
            </w:pPr>
            <w:r>
              <w:t xml:space="preserve">The most demanding class, because the capability influences a decision about a person and processes personal data, so every section is issued (Chapter 9)</w:t>
            </w:r>
          </w:p>
        </w:tc>
      </w:tr>
      <w:tr>
        <w:tc>
          <w:tcPr/>
          <w:p>
            <w:pPr>
              <w:pStyle w:val="Compact"/>
            </w:pPr>
            <w:r>
              <w:t xml:space="preserve">Questionnaire version, vendor, capability</w:t>
            </w:r>
          </w:p>
        </w:tc>
        <w:tc>
          <w:tcPr/>
          <w:p>
            <w:pPr>
              <w:pStyle w:val="Compact"/>
            </w:pPr>
            <w:r>
              <w:t xml:space="preserve">Version 1.0 [not stated in the book]; Kelso Analytics; Cairn</w:t>
            </w:r>
          </w:p>
        </w:tc>
      </w:tr>
      <w:tr>
        <w:tc>
          <w:tcPr/>
          <w:p>
            <w:pPr>
              <w:pStyle w:val="Compact"/>
            </w:pPr>
            <w:r>
              <w:t xml:space="preserve">Date received; person who reviewed</w:t>
            </w:r>
          </w:p>
        </w:tc>
        <w:tc>
          <w:tcPr/>
          <w:p>
            <w:pPr>
              <w:pStyle w:val="Compact"/>
            </w:pPr>
            <w:r>
              <w:t xml:space="preserve">[not stated in the book]</w:t>
            </w:r>
          </w:p>
        </w:tc>
      </w:tr>
    </w:tbl>
    <w:bookmarkEnd w:id="32"/>
    <w:bookmarkStart w:id="33" w:name="X00d151f5876d1e75c17bd4e3a8a32929d78577d"/>
    <w:p>
      <w:pPr>
        <w:pStyle w:val="Heading2"/>
      </w:pPr>
      <w:r>
        <w:t xml:space="preserve">Part B and Part C. Kelso's response, by section</w:t>
      </w:r>
    </w:p>
    <w:p>
      <w:pPr>
        <w:pStyle w:val="FirstParagraph"/>
      </w:pPr>
      <w:r>
        <w:t xml:space="preserve">The book gives the shape of the response by section, not question by question. Per-question outcomes and the numeric ratios are not stated in the book.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Section</w:t>
            </w:r>
          </w:p>
        </w:tc>
        <w:tc>
          <w:tcPr/>
          <w:p>
            <w:pPr>
              <w:pStyle w:val="Compact"/>
            </w:pPr>
            <w:r>
              <w:t xml:space="preserve">Kelso's response, as Chapter 9 sets it out</w:t>
            </w:r>
          </w:p>
        </w:tc>
        <w:tc>
          <w:tcPr/>
          <w:p>
            <w:pPr>
              <w:pStyle w:val="Compact"/>
            </w:pPr>
            <w:r>
              <w:t xml:space="preserve">Value, as far as the book states it</w:t>
            </w:r>
          </w:p>
        </w:tc>
      </w:tr>
      <w:tr>
        <w:tc>
          <w:tcPr/>
          <w:p>
            <w:pPr>
              <w:pStyle w:val="Compact"/>
            </w:pPr>
            <w:r>
              <w:t xml:space="preserve">A. Provenance and identity</w:t>
            </w:r>
          </w:p>
        </w:tc>
        <w:tc>
          <w:tcPr/>
          <w:p>
            <w:pPr>
              <w:pStyle w:val="Compact"/>
            </w:pPr>
            <w:r>
              <w:t xml:space="preserve">Answerable</w:t>
            </w:r>
          </w:p>
        </w:tc>
        <w:tc>
          <w:tcPr/>
          <w:p>
            <w:pPr>
              <w:pStyle w:val="Compact"/>
            </w:pPr>
            <w:r>
              <w:t xml:space="preserve">[not stated in the book]</w:t>
            </w:r>
          </w:p>
        </w:tc>
      </w:tr>
      <w:tr>
        <w:tc>
          <w:tcPr/>
          <w:p>
            <w:pPr>
              <w:pStyle w:val="Compact"/>
            </w:pPr>
            <w:r>
              <w:t xml:space="preserve">B. Training data</w:t>
            </w:r>
          </w:p>
        </w:tc>
        <w:tc>
          <w:tcPr/>
          <w:p>
            <w:pPr>
              <w:pStyle w:val="Compact"/>
            </w:pPr>
            <w:r>
              <w:t xml:space="preserve">Declined, with a stated reason: proprietary methods (Kelso declined on 26 January 2026 to share the features, the training data or the performance by segment)</w:t>
            </w:r>
          </w:p>
        </w:tc>
        <w:tc>
          <w:tcPr/>
          <w:p>
            <w:pPr>
              <w:pStyle w:val="Compact"/>
            </w:pPr>
            <w:r>
              <w:t xml:space="preserve">Open</w:t>
            </w:r>
          </w:p>
        </w:tc>
      </w:tr>
      <w:tr>
        <w:tc>
          <w:tcPr/>
          <w:p>
            <w:pPr>
              <w:pStyle w:val="Compact"/>
            </w:pPr>
            <w:r>
              <w:t xml:space="preserve">C. Evaluation and performance</w:t>
            </w:r>
          </w:p>
        </w:tc>
        <w:tc>
          <w:tcPr/>
          <w:p>
            <w:pPr>
              <w:pStyle w:val="Compact"/>
            </w:pPr>
            <w:r>
              <w:t xml:space="preserve">An aggregate accuracy figure, an assertion; declines on performance by segment</w:t>
            </w:r>
          </w:p>
        </w:tc>
        <w:tc>
          <w:tcPr/>
          <w:p>
            <w:pPr>
              <w:pStyle w:val="Compact"/>
            </w:pPr>
            <w:r>
              <w:t xml:space="preserve">Asserted (the aggregate figure); Open (performance by segment)</w:t>
            </w:r>
          </w:p>
        </w:tc>
      </w:tr>
      <w:tr>
        <w:tc>
          <w:tcPr/>
          <w:p>
            <w:pPr>
              <w:pStyle w:val="Compact"/>
            </w:pPr>
            <w:r>
              <w:t xml:space="preserve">D. Incident history</w:t>
            </w:r>
          </w:p>
        </w:tc>
        <w:tc>
          <w:tcPr/>
          <w:p>
            <w:pPr>
              <w:pStyle w:val="Compact"/>
            </w:pPr>
            <w:r>
              <w:t xml:space="preserve">[not stated in the book]</w:t>
            </w:r>
          </w:p>
        </w:tc>
        <w:tc>
          <w:tcPr/>
          <w:p>
            <w:pPr>
              <w:pStyle w:val="Compact"/>
            </w:pPr>
            <w:r>
              <w:t xml:space="preserve">[not stated in the book]</w:t>
            </w:r>
          </w:p>
        </w:tc>
      </w:tr>
      <w:tr>
        <w:tc>
          <w:tcPr/>
          <w:p>
            <w:pPr>
              <w:pStyle w:val="Compact"/>
            </w:pPr>
            <w:r>
              <w:t xml:space="preserve">E. Subprocessors and supply chain</w:t>
            </w:r>
          </w:p>
        </w:tc>
        <w:tc>
          <w:tcPr/>
          <w:p>
            <w:pPr>
              <w:pStyle w:val="Compact"/>
            </w:pPr>
            <w:r>
              <w:t xml:space="preserve">Names two suppliers Pellbrook has no contract with: a document-reading sub-vendor and a credit bureau feed, both contracted by Kelso</w:t>
            </w:r>
          </w:p>
        </w:tc>
        <w:tc>
          <w:tcPr/>
          <w:p>
            <w:pPr>
              <w:pStyle w:val="Compact"/>
            </w:pPr>
            <w:r>
              <w:t xml:space="preserve">[not stated in the book]</w:t>
            </w:r>
          </w:p>
        </w:tc>
      </w:tr>
      <w:tr>
        <w:tc>
          <w:tcPr/>
          <w:p>
            <w:pPr>
              <w:pStyle w:val="Compact"/>
            </w:pPr>
            <w:r>
              <w:t xml:space="preserve">F. Model change and notification</w:t>
            </w:r>
          </w:p>
        </w:tc>
        <w:tc>
          <w:tcPr/>
          <w:p>
            <w:pPr>
              <w:pStyle w:val="Compact"/>
            </w:pPr>
            <w:r>
              <w:t xml:space="preserve">Answered by events: on 18 August 2025 Kelso released version 5, retrained and rescaled, and the release notes went to a distribution list that no longer contained a Pellbrook address</w:t>
            </w:r>
          </w:p>
        </w:tc>
        <w:tc>
          <w:tcPr/>
          <w:p>
            <w:pPr>
              <w:pStyle w:val="Compact"/>
            </w:pPr>
            <w:r>
              <w:t xml:space="preserve">[not stated in the book]</w:t>
            </w:r>
          </w:p>
        </w:tc>
      </w:tr>
      <w:tr>
        <w:tc>
          <w:tcPr/>
          <w:p>
            <w:pPr>
              <w:pStyle w:val="Compact"/>
            </w:pPr>
            <w:r>
              <w:t xml:space="preserve">G. Exit and portability</w:t>
            </w:r>
          </w:p>
        </w:tc>
        <w:tc>
          <w:tcPr/>
          <w:p>
            <w:pPr>
              <w:pStyle w:val="Compact"/>
            </w:pPr>
            <w:r>
              <w:t xml:space="preserve">Nothing in Pellbrook's record</w:t>
            </w:r>
          </w:p>
        </w:tc>
        <w:tc>
          <w:tcPr/>
          <w:p>
            <w:pPr>
              <w:pStyle w:val="Compact"/>
            </w:pPr>
            <w:r>
              <w:t xml:space="preserve">[not stated in the book]</w:t>
            </w:r>
          </w:p>
        </w:tc>
      </w:tr>
    </w:tbl>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Ratio</w:t>
            </w:r>
          </w:p>
        </w:tc>
        <w:tc>
          <w:tcPr/>
          <w:p>
            <w:pPr>
              <w:pStyle w:val="Compact"/>
            </w:pPr>
            <w:r>
              <w:t xml:space="preserve">Pellbrook</w:t>
            </w:r>
          </w:p>
        </w:tc>
      </w:tr>
      <w:tr>
        <w:tc>
          <w:tcPr/>
          <w:p>
            <w:pPr>
              <w:pStyle w:val="Compact"/>
            </w:pPr>
            <w:r>
              <w:t xml:space="preserve">Evidence ratio</w:t>
            </w:r>
          </w:p>
        </w:tc>
        <w:tc>
          <w:tcPr/>
          <w:p>
            <w:pPr>
              <w:pStyle w:val="Compact"/>
            </w:pPr>
            <w:r>
              <w:t xml:space="preserve">Low; the number is [not stated in the book]</w:t>
            </w:r>
          </w:p>
        </w:tc>
      </w:tr>
      <w:tr>
        <w:tc>
          <w:tcPr/>
          <w:p>
            <w:pPr>
              <w:pStyle w:val="Compact"/>
            </w:pPr>
            <w:r>
              <w:t xml:space="preserve">Response ratio</w:t>
            </w:r>
          </w:p>
        </w:tc>
        <w:tc>
          <w:tcPr/>
          <w:p>
            <w:pPr>
              <w:pStyle w:val="Compact"/>
            </w:pPr>
            <w:r>
              <w:t xml:space="preserve">High; the number is [not stated in the book]</w:t>
            </w:r>
          </w:p>
        </w:tc>
      </w:tr>
    </w:tbl>
    <w:p>
      <w:pPr>
        <w:pStyle w:val="BodyText"/>
      </w:pPr>
      <w:r>
        <w:t xml:space="preserve">The two ratios diverge, high on response and low on evidence, with the questions on silent model change and reproducibility in the Open and Asserted columns (Chapter 9). The assurance report is evidence of whatever the report examined, and no more.</w:t>
      </w:r>
    </w:p>
    <w:bookmarkEnd w:id="33"/>
    <w:bookmarkStart w:id="34" w:name="part-d.-one-contract-one-response-1"/>
    <w:p>
      <w:pPr>
        <w:pStyle w:val="Heading2"/>
      </w:pPr>
      <w:r>
        <w:t xml:space="preserve">Part D. One contract, one response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Question</w:t>
            </w:r>
          </w:p>
        </w:tc>
        <w:tc>
          <w:tcPr/>
          <w:p>
            <w:pPr>
              <w:pStyle w:val="Compact"/>
            </w:pPr>
            <w:r>
              <w:t xml:space="preserve">Pellbrook (Chapter 9)</w:t>
            </w:r>
          </w:p>
        </w:tc>
      </w:tr>
      <w:tr>
        <w:tc>
          <w:tcPr/>
          <w:p>
            <w:pPr>
              <w:pStyle w:val="Compact"/>
            </w:pPr>
            <w:r>
              <w:t xml:space="preserve">Does the contract require notice before the model is retrained or rescaled?</w:t>
            </w:r>
          </w:p>
        </w:tc>
        <w:tc>
          <w:tcPr/>
          <w:p>
            <w:pPr>
              <w:pStyle w:val="Compact"/>
            </w:pPr>
            <w:r>
              <w:t xml:space="preserve">No</w:t>
            </w:r>
          </w:p>
        </w:tc>
      </w:tr>
      <w:tr>
        <w:tc>
          <w:tcPr/>
          <w:p>
            <w:pPr>
              <w:pStyle w:val="Compact"/>
            </w:pPr>
            <w:r>
              <w:t xml:space="preserve">Does each API response carry a model version?</w:t>
            </w:r>
          </w:p>
        </w:tc>
        <w:tc>
          <w:tcPr/>
          <w:p>
            <w:pPr>
              <w:pStyle w:val="Compact"/>
            </w:pPr>
            <w:r>
              <w:t xml:space="preserve">No, until version 5; the request for a version history from Sunil Mehta, Pellbrook's senior internal auditor, found nothing</w:t>
            </w:r>
          </w:p>
        </w:tc>
      </w:tr>
      <w:tr>
        <w:tc>
          <w:tcPr/>
          <w:p>
            <w:pPr>
              <w:pStyle w:val="Compact"/>
            </w:pPr>
            <w:r>
              <w:t xml:space="preserve">Could the institution compute the model's performance by segment from records it already holds?</w:t>
            </w:r>
          </w:p>
        </w:tc>
        <w:tc>
          <w:tcPr/>
          <w:p>
            <w:pPr>
              <w:pStyle w:val="Compact"/>
            </w:pPr>
            <w:r>
              <w:t xml:space="preserve">Yes</w:t>
            </w:r>
          </w:p>
        </w:tc>
      </w:tr>
    </w:tbl>
    <w:p>
      <w:pPr>
        <w:pStyle w:val="BodyText"/>
      </w:pPr>
      <w:r>
        <w:rPr>
          <w:b/>
          <w:bCs/>
        </w:rPr>
        <w:t xml:space="preserve">The minimum record, for Cairn.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Pellbrook</w:t>
            </w:r>
          </w:p>
        </w:tc>
      </w:tr>
      <w:tr>
        <w:tc>
          <w:tcPr/>
          <w:p>
            <w:pPr>
              <w:pStyle w:val="Compact"/>
            </w:pPr>
            <w:r>
              <w:t xml:space="preserve">The vendor's model or version identifier</w:t>
            </w:r>
          </w:p>
        </w:tc>
        <w:tc>
          <w:tcPr/>
          <w:p>
            <w:pPr>
              <w:pStyle w:val="Compact"/>
            </w:pPr>
            <w:r>
              <w:t xml:space="preserve">None until version 5 (Chapter 9)</w:t>
            </w:r>
          </w:p>
        </w:tc>
      </w:tr>
      <w:tr>
        <w:tc>
          <w:tcPr/>
          <w:p>
            <w:pPr>
              <w:pStyle w:val="Compact"/>
            </w:pPr>
            <w:r>
              <w:t xml:space="preserve">The input sent and the output received, or references to them</w:t>
            </w:r>
          </w:p>
        </w:tc>
        <w:tc>
          <w:tcPr/>
          <w:p>
            <w:pPr>
              <w:pStyle w:val="Compact"/>
            </w:pPr>
            <w:r>
              <w:t xml:space="preserve">Cairn's response identifier; Kelso keeps Cairn's inputs for thirty days, so Pellbrook keeps its own copy of any input it may be asked about later, or the reference is not enough (Chapter 9)</w:t>
            </w:r>
          </w:p>
        </w:tc>
      </w:tr>
      <w:tr>
        <w:tc>
          <w:tcPr/>
          <w:p>
            <w:pPr>
              <w:pStyle w:val="Compact"/>
            </w:pPr>
            <w:r>
              <w:t xml:space="preserve">The institution's own decision, with the threshold in force</w:t>
            </w:r>
          </w:p>
        </w:tc>
        <w:tc>
          <w:tcPr/>
          <w:p>
            <w:pPr>
              <w:pStyle w:val="Compact"/>
            </w:pPr>
            <w:r>
              <w:t xml:space="preserve">Pellbrook's routing at its threshold; the threshold stayed at 700 after version 5 was released (Chapter 9); any later threshold is [not stated in the book]</w:t>
            </w:r>
          </w:p>
        </w:tc>
      </w:tr>
      <w:tr>
        <w:tc>
          <w:tcPr/>
          <w:p>
            <w:pPr>
              <w:pStyle w:val="Compact"/>
            </w:pPr>
            <w:r>
              <w:t xml:space="preserve">The timestamp</w:t>
            </w:r>
          </w:p>
        </w:tc>
        <w:tc>
          <w:tcPr/>
          <w:p>
            <w:pPr>
              <w:pStyle w:val="Compact"/>
            </w:pPr>
            <w:r>
              <w:t xml:space="preserve">[not stated in the book]</w:t>
            </w:r>
          </w:p>
        </w:tc>
      </w:tr>
      <w:tr>
        <w:tc>
          <w:tcPr/>
          <w:p>
            <w:pPr>
              <w:pStyle w:val="Compact"/>
            </w:pPr>
            <w:r>
              <w:t xml:space="preserve">The contract term in force</w:t>
            </w:r>
          </w:p>
        </w:tc>
        <w:tc>
          <w:tcPr/>
          <w:p>
            <w:pPr>
              <w:pStyle w:val="Compact"/>
            </w:pPr>
            <w:r>
              <w:t xml:space="preserve">No term on model change or notification (Chapter 9)</w:t>
            </w:r>
          </w:p>
        </w:tc>
      </w:tr>
    </w:tbl>
    <w:bookmarkEnd w:id="34"/>
    <w:bookmarkStart w:id="35" w:name="the-route-through-outcomes"/>
    <w:p>
      <w:pPr>
        <w:pStyle w:val="Heading2"/>
      </w:pPr>
      <w:r>
        <w:t xml:space="preserve">The route through outcomes</w:t>
      </w:r>
    </w:p>
    <w:p>
      <w:pPr>
        <w:pStyle w:val="FirstParagraph"/>
      </w:pPr>
      <w:r>
        <w:t xml:space="preserve">Pellbrook can compute the performance by segment that Kelso declined to supply, from the share of each segment's applications Cairn routed to enhanced verification and the misrepresentation its analysts found in those files. Misrepresentation in an application Cairn did not route is never observed, so the outcome test carries a control: a random sample of applications below the threshold sent to verification as well (Chapter 9).</w:t>
      </w:r>
    </w:p>
    <w:bookmarkEnd w:id="35"/>
    <w:bookmarkStart w:id="36" w:name="part-e.-the-gate-decision-1"/>
    <w:p>
      <w:pPr>
        <w:pStyle w:val="Heading2"/>
      </w:pPr>
      <w:r>
        <w:t xml:space="preserve">Part E. The gate decision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Pellbrook (Chapter 9)</w:t>
            </w:r>
          </w:p>
        </w:tc>
      </w:tr>
      <w:tr>
        <w:tc>
          <w:tcPr/>
          <w:p>
            <w:pPr>
              <w:pStyle w:val="Compact"/>
            </w:pPr>
            <w:r>
              <w:t xml:space="preserve">Decision</w:t>
            </w:r>
          </w:p>
        </w:tc>
        <w:tc>
          <w:tcPr/>
          <w:p>
            <w:pPr>
              <w:pStyle w:val="Compact"/>
            </w:pPr>
            <w:r>
              <w:t xml:space="preserve">Conditional passage: the decision the score supports. Passage is unavailable on the evidence</w:t>
            </w:r>
          </w:p>
        </w:tc>
      </w:tr>
      <w:tr>
        <w:tc>
          <w:tcPr/>
          <w:p>
            <w:pPr>
              <w:pStyle w:val="Compact"/>
            </w:pPr>
            <w:r>
              <w:t xml:space="preserve">What rejection would mean</w:t>
            </w:r>
          </w:p>
        </w:tc>
        <w:tc>
          <w:tcPr/>
          <w:p>
            <w:pPr>
              <w:pStyle w:val="Compact"/>
            </w:pPr>
            <w:r>
              <w:t xml:space="preserve">The broker channel loses its misrepresentation screen on the day the decision is signed, which is a risk decision in its own right</w:t>
            </w:r>
          </w:p>
        </w:tc>
      </w:tr>
      <w:tr>
        <w:tc>
          <w:tcPr/>
          <w:p>
            <w:pPr>
              <w:pStyle w:val="Compact"/>
            </w:pPr>
            <w:r>
              <w:t xml:space="preserve">The named person who decides</w:t>
            </w:r>
          </w:p>
        </w:tc>
        <w:tc>
          <w:tcPr/>
          <w:p>
            <w:pPr>
              <w:pStyle w:val="Compact"/>
            </w:pPr>
            <w:r>
              <w:t xml:space="preserve">[not stated in the book]. Chapter 5 places G1 and G4 with Devin Achterberg, Cairn's platform owner, G2 with Renée Moreau, and G3 and the G5 decision with one executive outside lending operations and model risk, named in the decision rights</w:t>
            </w:r>
          </w:p>
        </w:tc>
      </w:tr>
      <w:tr>
        <w:tc>
          <w:tcPr/>
          <w:p>
            <w:pPr>
              <w:pStyle w:val="Compact"/>
            </w:pPr>
            <w:r>
              <w:t xml:space="preserve">Reversion stated in advance</w:t>
            </w:r>
          </w:p>
        </w:tc>
        <w:tc>
          <w:tcPr/>
          <w:p>
            <w:pPr>
              <w:pStyle w:val="Compact"/>
            </w:pPr>
            <w:r>
              <w:t xml:space="preserve">If Kelso will not accept the notification term, the decision reverts to rejection, and the record says so in advance rather than after the next rescale</w:t>
            </w:r>
          </w:p>
        </w:tc>
      </w:tr>
    </w:tbl>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Condition</w:t>
            </w:r>
          </w:p>
        </w:tc>
        <w:tc>
          <w:tcPr/>
          <w:p>
            <w:pPr>
              <w:pStyle w:val="Compact"/>
            </w:pPr>
            <w:r>
              <w:t xml:space="preserve">Owner</w:t>
            </w:r>
          </w:p>
        </w:tc>
        <w:tc>
          <w:tcPr/>
          <w:p>
            <w:pPr>
              <w:pStyle w:val="Compact"/>
            </w:pPr>
            <w:r>
              <w:t xml:space="preserve">Date</w:t>
            </w:r>
          </w:p>
        </w:tc>
      </w:tr>
      <w:tr>
        <w:tc>
          <w:tcPr/>
          <w:p>
            <w:pPr>
              <w:pStyle w:val="Compact"/>
            </w:pPr>
            <w:r>
              <w:t xml:space="preserve">A model-version identifier on every response</w:t>
            </w:r>
          </w:p>
        </w:tc>
        <w:tc>
          <w:tcPr/>
          <w:p>
            <w:pPr>
              <w:pStyle w:val="Compact"/>
            </w:pPr>
            <w:r>
              <w:t xml:space="preserve">[not stated in the book]</w:t>
            </w:r>
          </w:p>
        </w:tc>
        <w:tc>
          <w:tcPr/>
          <w:p>
            <w:pPr>
              <w:pStyle w:val="Compact"/>
            </w:pPr>
            <w:r>
              <w:t xml:space="preserve">[not stated in the book]</w:t>
            </w:r>
          </w:p>
        </w:tc>
      </w:tr>
      <w:tr>
        <w:tc>
          <w:tcPr/>
          <w:p>
            <w:pPr>
              <w:pStyle w:val="Compact"/>
            </w:pPr>
            <w:r>
              <w:t xml:space="preserve">A contractual notification of any retrain or rescale before it takes effect</w:t>
            </w:r>
          </w:p>
        </w:tc>
        <w:tc>
          <w:tcPr/>
          <w:p>
            <w:pPr>
              <w:pStyle w:val="Compact"/>
            </w:pPr>
            <w:r>
              <w:t xml:space="preserve">[not stated in the book]</w:t>
            </w:r>
          </w:p>
        </w:tc>
        <w:tc>
          <w:tcPr/>
          <w:p>
            <w:pPr>
              <w:pStyle w:val="Compact"/>
            </w:pPr>
            <w:r>
              <w:t xml:space="preserve">[not stated in the book]</w:t>
            </w:r>
          </w:p>
        </w:tc>
      </w:tr>
      <w:tr>
        <w:tc>
          <w:tcPr/>
          <w:p>
            <w:pPr>
              <w:pStyle w:val="Compact"/>
            </w:pPr>
            <w:r>
              <w:t xml:space="preserve">A threshold re-derived by Pellbrook on each version from its own outcome data</w:t>
            </w:r>
          </w:p>
        </w:tc>
        <w:tc>
          <w:tcPr/>
          <w:p>
            <w:pPr>
              <w:pStyle w:val="Compact"/>
            </w:pPr>
            <w:r>
              <w:t xml:space="preserve">[not stated in the book]</w:t>
            </w:r>
          </w:p>
        </w:tc>
        <w:tc>
          <w:tcPr/>
          <w:p>
            <w:pPr>
              <w:pStyle w:val="Compact"/>
            </w:pPr>
            <w:r>
              <w:t xml:space="preserve">[not stated in the book]</w:t>
            </w:r>
          </w:p>
        </w:tc>
      </w:tr>
      <w:tr>
        <w:tc>
          <w:tcPr/>
          <w:p>
            <w:pPr>
              <w:pStyle w:val="Compact"/>
            </w:pPr>
            <w:r>
              <w:t xml:space="preserve">A monthly measure of the routed share against a baseline, with a named owner</w:t>
            </w:r>
          </w:p>
        </w:tc>
        <w:tc>
          <w:tcPr/>
          <w:p>
            <w:pPr>
              <w:pStyle w:val="Compact"/>
            </w:pPr>
            <w:r>
              <w:t xml:space="preserve">[not stated in the book]</w:t>
            </w:r>
          </w:p>
        </w:tc>
        <w:tc>
          <w:tcPr/>
          <w:p>
            <w:pPr>
              <w:pStyle w:val="Compact"/>
            </w:pPr>
            <w:r>
              <w:t xml:space="preserve">[not stated in the book]</w:t>
            </w:r>
          </w:p>
        </w:tc>
      </w:tr>
      <w:tr>
        <w:tc>
          <w:tcPr/>
          <w:p>
            <w:pPr>
              <w:pStyle w:val="Compact"/>
            </w:pPr>
            <w:r>
              <w:t xml:space="preserve">A segment-level outcome test that Pellbrook runs itself</w:t>
            </w:r>
          </w:p>
        </w:tc>
        <w:tc>
          <w:tcPr/>
          <w:p>
            <w:pPr>
              <w:pStyle w:val="Compact"/>
            </w:pPr>
            <w:r>
              <w:t xml:space="preserve">[not stated in the book]</w:t>
            </w:r>
          </w:p>
        </w:tc>
        <w:tc>
          <w:tcPr/>
          <w:p>
            <w:pPr>
              <w:pStyle w:val="Compact"/>
            </w:pPr>
            <w:r>
              <w:t xml:space="preserve">[not stated in the book]</w:t>
            </w:r>
          </w:p>
        </w:tc>
      </w:tr>
    </w:tbl>
    <w:bookmarkEnd w:id="36"/>
    <w:bookmarkStart w:id="37" w:name="part-f.-residual-risk-and-the-exception"/>
    <w:p>
      <w:pPr>
        <w:pStyle w:val="Heading2"/>
      </w:pPr>
      <w:r>
        <w:t xml:space="preserve">Part F. Residual risk and the exception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Pellbrook (Chapter 9)</w:t>
            </w:r>
          </w:p>
        </w:tc>
      </w:tr>
      <w:tr>
        <w:tc>
          <w:tcPr/>
          <w:p>
            <w:pPr>
              <w:pStyle w:val="Compact"/>
            </w:pPr>
            <w:r>
              <w:t xml:space="preserve">Classification</w:t>
            </w:r>
          </w:p>
        </w:tc>
        <w:tc>
          <w:tcPr/>
          <w:p>
            <w:pPr>
              <w:pStyle w:val="Compact"/>
            </w:pPr>
            <w:r>
              <w:t xml:space="preserve">The most demanding class</w:t>
            </w:r>
          </w:p>
        </w:tc>
      </w:tr>
      <w:tr>
        <w:tc>
          <w:tcPr/>
          <w:p>
            <w:pPr>
              <w:pStyle w:val="Compact"/>
            </w:pPr>
            <w:r>
              <w:t xml:space="preserve">The two ratios</w:t>
            </w:r>
          </w:p>
        </w:tc>
        <w:tc>
          <w:tcPr/>
          <w:p>
            <w:pPr>
              <w:pStyle w:val="Compact"/>
            </w:pPr>
            <w:r>
              <w:t xml:space="preserve">High on response, low on evidence; numbers [not stated in the book]</w:t>
            </w:r>
          </w:p>
        </w:tc>
      </w:tr>
      <w:tr>
        <w:tc>
          <w:tcPr/>
          <w:p>
            <w:pPr>
              <w:pStyle w:val="Compact"/>
            </w:pPr>
            <w:r>
              <w:t xml:space="preserve">Declined questions, with stated reasons</w:t>
            </w:r>
          </w:p>
        </w:tc>
        <w:tc>
          <w:tcPr/>
          <w:p>
            <w:pPr>
              <w:pStyle w:val="Compact"/>
            </w:pPr>
            <w:r>
              <w:t xml:space="preserve">Training data and performance by segment, declined citing proprietary methods</w:t>
            </w:r>
          </w:p>
        </w:tc>
      </w:tr>
      <w:tr>
        <w:tc>
          <w:tcPr/>
          <w:p>
            <w:pPr>
              <w:pStyle w:val="Compact"/>
            </w:pPr>
            <w:r>
              <w:t xml:space="preserve">Compensating controls, each with its owner</w:t>
            </w:r>
          </w:p>
        </w:tc>
        <w:tc>
          <w:tcPr/>
          <w:p>
            <w:pPr>
              <w:pStyle w:val="Compact"/>
            </w:pPr>
            <w:r>
              <w:t xml:space="preserve">[not stated in the book]. Chapter 9 names what a conditional passage adds to the exception: written conditions, their owners, and the outcome test as the validation</w:t>
            </w:r>
          </w:p>
        </w:tc>
      </w:tr>
      <w:tr>
        <w:tc>
          <w:tcPr/>
          <w:p>
            <w:pPr>
              <w:pStyle w:val="Compact"/>
            </w:pPr>
            <w:r>
              <w:t xml:space="preserve">What the controls do not cover</w:t>
            </w:r>
          </w:p>
        </w:tc>
        <w:tc>
          <w:tcPr/>
          <w:p>
            <w:pPr>
              <w:pStyle w:val="Compact"/>
            </w:pPr>
            <w:r>
              <w:t xml:space="preserve">[not stated in the book]</w:t>
            </w:r>
          </w:p>
        </w:tc>
      </w:tr>
      <w:tr>
        <w:tc>
          <w:tcPr/>
          <w:p>
            <w:pPr>
              <w:pStyle w:val="Compact"/>
            </w:pPr>
            <w:r>
              <w:t xml:space="preserve">Residual risk against the appetite statement</w:t>
            </w:r>
          </w:p>
        </w:tc>
        <w:tc>
          <w:tcPr/>
          <w:p>
            <w:pPr>
              <w:pStyle w:val="Compact"/>
            </w:pPr>
            <w:r>
              <w:t xml:space="preserve">[not stated in the book]</w:t>
            </w:r>
          </w:p>
        </w:tc>
      </w:tr>
      <w:tr>
        <w:tc>
          <w:tcPr/>
          <w:p>
            <w:pPr>
              <w:pStyle w:val="Compact"/>
            </w:pPr>
            <w:r>
              <w:t xml:space="preserve">Person who accepted it</w:t>
            </w:r>
          </w:p>
        </w:tc>
        <w:tc>
          <w:tcPr/>
          <w:p>
            <w:pPr>
              <w:pStyle w:val="Compact"/>
            </w:pPr>
            <w:r>
              <w:t xml:space="preserve">[not stated in the book]</w:t>
            </w:r>
          </w:p>
        </w:tc>
      </w:tr>
      <w:tr>
        <w:tc>
          <w:tcPr/>
          <w:p>
            <w:pPr>
              <w:pStyle w:val="Compact"/>
            </w:pPr>
            <w:r>
              <w:t xml:space="preserve">Date the acceptance expires</w:t>
            </w:r>
          </w:p>
        </w:tc>
        <w:tc>
          <w:tcPr/>
          <w:p>
            <w:pPr>
              <w:pStyle w:val="Compact"/>
            </w:pPr>
            <w:r>
              <w:t xml:space="preserve">[not stated in the book]</w:t>
            </w:r>
          </w:p>
        </w:tc>
      </w:tr>
      <w:tr>
        <w:tc>
          <w:tcPr/>
          <w:p>
            <w:pPr>
              <w:pStyle w:val="Compact"/>
            </w:pPr>
            <w:r>
              <w:t xml:space="preserve">Boundary fixed</w:t>
            </w:r>
          </w:p>
        </w:tc>
        <w:tc>
          <w:tcPr/>
          <w:p>
            <w:pPr>
              <w:pStyle w:val="Compact"/>
            </w:pPr>
            <w:r>
              <w:t xml:space="preserve">The routing rule and the threshold Pellbrook now derives itself</w:t>
            </w:r>
          </w:p>
        </w:tc>
      </w:tr>
      <w:tr>
        <w:tc>
          <w:tcPr/>
          <w:p>
            <w:pPr>
              <w:pStyle w:val="Compact"/>
            </w:pPr>
            <w:r>
              <w:t xml:space="preserve">Optimizer freed</w:t>
            </w:r>
          </w:p>
        </w:tc>
        <w:tc>
          <w:tcPr/>
          <w:p>
            <w:pPr>
              <w:pStyle w:val="Compact"/>
            </w:pPr>
            <w:r>
              <w:t xml:space="preserve">Kelso's model behind the API</w:t>
            </w:r>
          </w:p>
        </w:tc>
      </w:tr>
      <w:tr>
        <w:tc>
          <w:tcPr/>
          <w:p>
            <w:pPr>
              <w:pStyle w:val="Compact"/>
            </w:pPr>
            <w:r>
              <w:t xml:space="preserve">Evidence that the boundary held</w:t>
            </w:r>
          </w:p>
        </w:tc>
        <w:tc>
          <w:tcPr/>
          <w:p>
            <w:pPr>
              <w:pStyle w:val="Compact"/>
            </w:pPr>
            <w:r>
              <w:t xml:space="preserve">Pellbrook's own outcome series</w:t>
            </w:r>
          </w:p>
        </w:tc>
      </w:tr>
      <w:tr>
        <w:tc>
          <w:tcPr/>
          <w:p>
            <w:pPr>
              <w:pStyle w:val="Compact"/>
            </w:pPr>
            <w:r>
              <w:t xml:space="preserve">The exception</w:t>
            </w:r>
          </w:p>
        </w:tc>
        <w:tc>
          <w:tcPr/>
          <w:p>
            <w:pPr>
              <w:pStyle w:val="Compact"/>
            </w:pPr>
            <w:r>
              <w:t xml:space="preserve">Renée Moreau's 180-day exception of 9 February 2026, recorded when she rated Cairn high inherent risk and placed it on the inventory</w:t>
            </w:r>
          </w:p>
        </w:tc>
      </w:tr>
      <w:tr>
        <w:tc>
          <w:tcPr/>
          <w:p>
            <w:pPr>
              <w:pStyle w:val="Compact"/>
            </w:pPr>
            <w:r>
              <w:t xml:space="preserve">The validation</w:t>
            </w:r>
          </w:p>
        </w:tc>
        <w:tc>
          <w:tcPr/>
          <w:p>
            <w:pPr>
              <w:pStyle w:val="Compact"/>
            </w:pPr>
            <w:r>
              <w:t xml:space="preserve">The outcome test its own data already supports</w:t>
            </w:r>
          </w:p>
        </w:tc>
      </w:tr>
      <w:tr>
        <w:tc>
          <w:tcPr/>
          <w:p>
            <w:pPr>
              <w:pStyle w:val="Compact"/>
            </w:pPr>
            <w:r>
              <w:t xml:space="preserve">The date fixed for the decision</w:t>
            </w:r>
          </w:p>
        </w:tc>
        <w:tc>
          <w:tcPr/>
          <w:p>
            <w:pPr>
              <w:pStyle w:val="Compact"/>
            </w:pPr>
            <w:r>
              <w:t xml:space="preserve">8 August 2026, the day the 180 days end, on which the exception either closes into passage or reverts into rejection. The entry made on that date is [not stated in the book]</w:t>
            </w:r>
          </w:p>
        </w:tc>
      </w:tr>
    </w:tbl>
    <w:p>
      <w:pPr>
        <w:pStyle w:val="BodyText"/>
      </w:pPr>
      <w:r>
        <w:t xml:space="preserve">A vendor record in this shape joins the institution's other evidence instead of sitting in the procurement file where Cairn's contract sat for fourteen months. It is the record Sunil Mehta asked for in January and could not be given, written for the next time he asks (Chapter 9).</w:t>
      </w:r>
    </w:p>
    <w:p>
      <w:pPr>
        <w:pStyle w:val="BodyText"/>
      </w:pPr>
      <w:r>
        <w:t xml:space="preserve">nabeelkhan.com/e-23/vendor-assessment. Questions: nabeelkhan.com/contact.</w:t>
      </w:r>
    </w:p>
    <w:p>
      <w:r>
        <w:pict>
          <v:rect style="width:0;height:1.5pt" o:hralign="center" o:hrstd="t" o:hr="t"/>
        </w:pict>
      </w:r>
    </w:p>
    <w:p>
      <w:pPr>
        <w:pStyle w:val="FirstParagraph"/>
      </w:pPr>
      <w:r>
        <w:rPr>
          <w:i/>
          <w:iCs/>
        </w:rPr>
        <w:t xml:space="preserve">Licensed under the Companion Working Files Licence 1.0 (nabeelkhan.com/terms#companion-files). You may complete, adapt and use this file inside your own organisation, including commercially, and you may have an AI assistant help you complete it. You may not sell it, or republish it as a template set. Keep this credit line in the document.</w:t>
      </w:r>
    </w:p>
    <w:bookmarkEnd w:id="37"/>
    <w:bookmarkEnd w:id="3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AVRF questionnaire, scoring sheet and the Pellbrook worked example</dc:title>
  <dc:creator>Dr. Nabeel A. Khan</dc:creator>
  <cp:keywords/>
  <dcterms:created xsi:type="dcterms:W3CDTF">2026-10-07T04:20:09Z</dcterms:created>
  <dcterms:modified xsi:type="dcterms:W3CDTF">2026-10-07T04:20:09Z</dcterms:modified>
</cp:coreProperties>
</file>

<file path=docProps/custom.xml><?xml version="1.0" encoding="utf-8"?>
<Properties xmlns="http://schemas.openxmlformats.org/officeDocument/2006/custom-properties" xmlns:vt="http://schemas.openxmlformats.org/officeDocument/2006/docPropsVTypes"/>
</file>