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E-23 scope self-check</w:t>
      </w:r>
    </w:p>
    <w:p>
      <w:pPr>
        <w:pStyle w:val="Author"/>
      </w:pPr>
      <w:r>
        <w:t xml:space="preserve">Dr. Nabeel A. Khan</w:t>
      </w:r>
    </w:p>
    <w:bookmarkStart w:id="15" w:name="the-e-23-scope-self-check"/>
    <w:p>
      <w:pPr>
        <w:pStyle w:val="Heading1"/>
      </w:pPr>
      <w:r>
        <w:t xml:space="preserve">The E-23 scope self-check</w:t>
      </w:r>
    </w:p>
    <w:p>
      <w:pPr>
        <w:pStyle w:val="FirstParagraph"/>
      </w:pPr>
      <w:r>
        <w:rPr>
          <w:i/>
          <w:iCs/>
        </w:rPr>
        <w:t xml:space="preserve">From OSFI E-23 for AI Systems by Dr. Nabeel A. Khan (iSystematic Inc., 2026). Version 1.1, 18 October 2026. nabeelkhan.com/e-23/scope-check</w:t>
      </w:r>
    </w:p>
    <w:p>
      <w:pPr>
        <w:pStyle w:val="BodyText"/>
      </w:pPr>
      <w:r>
        <w:t xml:space="preserve">Chapter 1 of</w:t>
      </w:r>
      <w:r>
        <w:t xml:space="preserve"> </w:t>
      </w:r>
      <w:r>
        <w:rPr>
          <w:i/>
          <w:iCs/>
        </w:rPr>
        <w:t xml:space="preserve">OSFI E-23 for AI Systems</w:t>
      </w:r>
      <w:r>
        <w:t xml:space="preserve">. Every field below is set out in Chapter 1; this file is a convenience, and the method is in the text.</w:t>
      </w:r>
    </w:p>
    <w:p>
      <w:pPr>
        <w:pStyle w:val="BodyText"/>
      </w:pPr>
      <w:r>
        <w:t xml:space="preserve">Conformance with any framework named here is self-declared. OSFI does not endorse, approve or recommend this book or its templates.</w:t>
      </w:r>
    </w:p>
    <w:p>
      <w:pPr>
        <w:pStyle w:val="BodyText"/>
      </w:pPr>
      <w:r>
        <w:rPr>
          <w:b/>
          <w:bCs/>
        </w:rPr>
        <w:t xml:space="preserve">What this produces.</w:t>
      </w:r>
      <w:r>
        <w:t xml:space="preserve"> </w:t>
      </w:r>
      <w:r>
        <w:t xml:space="preserve">Your MRM framework, marked in three colors, with the third list on top (Chapter 1, the artifact).</w:t>
      </w:r>
    </w:p>
    <w:p>
      <w:pPr>
        <w:pStyle w:val="BodyText"/>
      </w:pPr>
      <w:r>
        <w:rPr>
          <w:b/>
          <w:bCs/>
        </w:rPr>
        <w:t xml:space="preserve">How to read the Basis column.</w:t>
      </w:r>
      <w:r>
        <w:t xml:space="preserve"> </w:t>
      </w:r>
      <w:r>
        <w:t xml:space="preserve">"E-23" with a ledger row means the guideline states it, as Chapter 1 cites it. "The discipline's" means the book's method chose it, not the guideline.</w:t>
      </w:r>
    </w:p>
    <w:bookmarkStart w:id="9" w:name="part-a.-the-three-colors"/>
    <w:p>
      <w:pPr>
        <w:pStyle w:val="Heading2"/>
      </w:pPr>
      <w:r>
        <w:t xml:space="preserve">Part A. The three colors</w:t>
      </w:r>
    </w:p>
    <w:p>
      <w:pPr>
        <w:pStyle w:val="FirstParagraph"/>
      </w:pPr>
      <w:r>
        <w:t xml:space="preserve">Mark each check in Part B, and each field in Part C, in one of the three colors.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Color</w:t>
            </w:r>
          </w:p>
        </w:tc>
        <w:tc>
          <w:tcPr/>
          <w:p>
            <w:pPr>
              <w:pStyle w:val="Compact"/>
            </w:pPr>
            <w:r>
              <w:t xml:space="preserve">Meaning</w:t>
            </w:r>
          </w:p>
        </w:tc>
        <w:tc>
          <w:tcPr/>
          <w:p>
            <w:pPr>
              <w:pStyle w:val="Compact"/>
            </w:pPr>
            <w:r>
              <w:t xml:space="preserve">Examples Chapter 1 gives</w:t>
            </w:r>
          </w:p>
        </w:tc>
      </w:tr>
      <w:tr>
        <w:tc>
          <w:tcPr/>
          <w:p>
            <w:pPr>
              <w:pStyle w:val="Compact"/>
            </w:pPr>
            <w:r>
              <w:t xml:space="preserve">1. Answers</w:t>
            </w:r>
          </w:p>
        </w:tc>
        <w:tc>
          <w:tcPr/>
          <w:p>
            <w:pPr>
              <w:pStyle w:val="Compact"/>
            </w:pPr>
            <w:r>
              <w:t xml:space="preserve">The framework already answers</w:t>
            </w:r>
          </w:p>
        </w:tc>
        <w:tc>
          <w:tcPr/>
          <w:p>
            <w:pPr>
              <w:pStyle w:val="Compact"/>
            </w:pPr>
            <w:r>
              <w:t xml:space="preserve">The six checks in Part B, where the framework meets them</w:t>
            </w:r>
          </w:p>
        </w:tc>
      </w:tr>
      <w:tr>
        <w:tc>
          <w:tcPr/>
          <w:p>
            <w:pPr>
              <w:pStyle w:val="Compact"/>
            </w:pPr>
            <w:r>
              <w:t xml:space="preserve">2. Does not answer</w:t>
            </w:r>
          </w:p>
        </w:tc>
        <w:tc>
          <w:tcPr/>
          <w:p>
            <w:pPr>
              <w:pStyle w:val="Compact"/>
            </w:pPr>
            <w:r>
              <w:t xml:space="preserve">The framework does not answer</w:t>
            </w:r>
          </w:p>
        </w:tc>
        <w:tc>
          <w:tcPr/>
          <w:p>
            <w:pPr>
              <w:pStyle w:val="Compact"/>
            </w:pPr>
            <w:r>
              <w:t xml:space="preserve">A definition still written for quantitative estimates; a vendor policy that categorizes purchases by department; an inventory with no version or approver column</w:t>
            </w:r>
          </w:p>
        </w:tc>
      </w:tr>
      <w:tr>
        <w:tc>
          <w:tcPr/>
          <w:p>
            <w:pPr>
              <w:pStyle w:val="Compact"/>
            </w:pPr>
            <w:r>
              <w:t xml:space="preserve">3. Never inventoried</w:t>
            </w:r>
          </w:p>
        </w:tc>
        <w:tc>
          <w:tcPr/>
          <w:p>
            <w:pPr>
              <w:pStyle w:val="Compact"/>
            </w:pPr>
            <w:r>
              <w:t xml:space="preserve">Systems that were never in an inventory, because the framework's definition did not reach them, or because someone decided they were tools</w:t>
            </w:r>
          </w:p>
        </w:tc>
        <w:tc>
          <w:tcPr/>
          <w:p>
            <w:pPr>
              <w:pStyle w:val="Compact"/>
            </w:pPr>
            <w:r>
              <w:t xml:space="preserve">Listed in Part D, which goes on top</w:t>
            </w:r>
          </w:p>
        </w:tc>
      </w:tr>
    </w:tbl>
    <w:bookmarkEnd w:id="9"/>
    <w:bookmarkStart w:id="10" w:name="X1b8d02b7340b465b40949d269d9548a1917579c"/>
    <w:p>
      <w:pPr>
        <w:pStyle w:val="Heading2"/>
      </w:pPr>
      <w:r>
        <w:t xml:space="preserve">Part B. Where the framework already answers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The check, as Chapter 1 states it</w:t>
            </w:r>
          </w:p>
        </w:tc>
        <w:tc>
          <w:tcPr/>
          <w:p>
            <w:pPr>
              <w:pStyle w:val="Compact"/>
            </w:pPr>
            <w:r>
              <w:t xml:space="preserve">Basis</w:t>
            </w:r>
          </w:p>
        </w:tc>
        <w:tc>
          <w:tcPr/>
          <w:p>
            <w:pPr>
              <w:pStyle w:val="Compact"/>
            </w:pPr>
            <w:r>
              <w:t xml:space="preserve">Color (1 or 2)</w:t>
            </w:r>
          </w:p>
        </w:tc>
      </w:tr>
      <w:tr>
        <w:tc>
          <w:tcPr/>
          <w:p>
            <w:pPr>
              <w:pStyle w:val="Compact"/>
            </w:pPr>
            <w:r>
              <w:t xml:space="preserve">B1</w:t>
            </w:r>
          </w:p>
        </w:tc>
        <w:tc>
          <w:tcPr/>
          <w:p>
            <w:pPr>
              <w:pStyle w:val="Compact"/>
            </w:pPr>
            <w:r>
              <w:t xml:space="preserve">The institution is named in the scope sentence: "This guideline applies to all federally regulated financial institutions, including foreign bank branches and foreign insurance company branches"</w:t>
            </w:r>
          </w:p>
        </w:tc>
        <w:tc>
          <w:tcPr/>
          <w:p>
            <w:pPr>
              <w:pStyle w:val="Compact"/>
            </w:pPr>
            <w:r>
              <w:t xml:space="preserve">E-23</w:t>
            </w:r>
          </w:p>
        </w:tc>
        <w:tc>
          <w:tcPr/>
          <w:p>
            <w:pPr>
              <w:pStyle w:val="Compact"/>
            </w:pPr>
          </w:p>
        </w:tc>
      </w:tr>
      <w:tr>
        <w:tc>
          <w:tcPr/>
          <w:p>
            <w:pPr>
              <w:pStyle w:val="Compact"/>
            </w:pPr>
            <w:r>
              <w:t xml:space="preserve">B2</w:t>
            </w:r>
          </w:p>
        </w:tc>
        <w:tc>
          <w:tcPr/>
          <w:p>
            <w:pPr>
              <w:pStyle w:val="Compact"/>
            </w:pPr>
            <w:r>
              <w:t xml:space="preserve">The model definition is at least as broad as OSFI's: an application of theoretical, empirical, judgmental assumptions or statistical techniques, "including AI/ML methods", which processes input data to generate results, with a data input component, a processing component and a result component</w:t>
            </w:r>
          </w:p>
        </w:tc>
        <w:tc>
          <w:tcPr/>
          <w:p>
            <w:pPr>
              <w:pStyle w:val="Compact"/>
            </w:pPr>
            <w:r>
              <w:t xml:space="preserve">E-23</w:t>
            </w:r>
          </w:p>
        </w:tc>
        <w:tc>
          <w:tcPr/>
          <w:p>
            <w:pPr>
              <w:pStyle w:val="Compact"/>
            </w:pPr>
          </w:p>
        </w:tc>
      </w:tr>
      <w:tr>
        <w:tc>
          <w:tcPr/>
          <w:p>
            <w:pPr>
              <w:pStyle w:val="Compact"/>
            </w:pPr>
            <w:r>
              <w:t xml:space="preserve">B3</w:t>
            </w:r>
          </w:p>
        </w:tc>
        <w:tc>
          <w:tcPr/>
          <w:p>
            <w:pPr>
              <w:pStyle w:val="Compact"/>
            </w:pPr>
            <w:r>
              <w:t xml:space="preserve">External models are covered by reference to B-10: models or data sourced from external sources, including foreign offices and third-party vendors; externally developed models rated on a standalone basis; the processes that identify models across the enterprise include vendor and third-party models</w:t>
            </w:r>
          </w:p>
        </w:tc>
        <w:tc>
          <w:tcPr/>
          <w:p>
            <w:pPr>
              <w:pStyle w:val="Compact"/>
            </w:pPr>
            <w:r>
              <w:t xml:space="preserve">E-23</w:t>
            </w:r>
          </w:p>
        </w:tc>
        <w:tc>
          <w:tcPr/>
          <w:p>
            <w:pPr>
              <w:pStyle w:val="Compact"/>
            </w:pPr>
          </w:p>
        </w:tc>
      </w:tr>
      <w:tr>
        <w:tc>
          <w:tcPr/>
          <w:p>
            <w:pPr>
              <w:pStyle w:val="Compact"/>
            </w:pPr>
            <w:r>
              <w:t xml:space="preserve">B4</w:t>
            </w:r>
          </w:p>
        </w:tc>
        <w:tc>
          <w:tcPr/>
          <w:p>
            <w:pPr>
              <w:pStyle w:val="Compact"/>
            </w:pPr>
            <w:r>
              <w:t xml:space="preserve">Senior management holds the framework</w:t>
            </w:r>
          </w:p>
        </w:tc>
        <w:tc>
          <w:tcPr/>
          <w:p>
            <w:pPr>
              <w:pStyle w:val="Compact"/>
            </w:pPr>
            <w:r>
              <w:t xml:space="preserve">E-23</w:t>
            </w:r>
          </w:p>
        </w:tc>
        <w:tc>
          <w:tcPr/>
          <w:p>
            <w:pPr>
              <w:pStyle w:val="Compact"/>
            </w:pPr>
          </w:p>
        </w:tc>
      </w:tr>
      <w:tr>
        <w:tc>
          <w:tcPr/>
          <w:p>
            <w:pPr>
              <w:pStyle w:val="Compact"/>
            </w:pPr>
            <w:r>
              <w:t xml:space="preserve">B5</w:t>
            </w:r>
          </w:p>
        </w:tc>
        <w:tc>
          <w:tcPr/>
          <w:p>
            <w:pPr>
              <w:pStyle w:val="Compact"/>
            </w:pPr>
            <w:r>
              <w:t xml:space="preserve">Model risk reaches the board</w:t>
            </w:r>
          </w:p>
        </w:tc>
        <w:tc>
          <w:tcPr/>
          <w:p>
            <w:pPr>
              <w:pStyle w:val="Compact"/>
            </w:pPr>
            <w:r>
              <w:t xml:space="preserve">E-23</w:t>
            </w:r>
          </w:p>
        </w:tc>
        <w:tc>
          <w:tcPr/>
          <w:p>
            <w:pPr>
              <w:pStyle w:val="Compact"/>
            </w:pPr>
          </w:p>
        </w:tc>
      </w:tr>
      <w:tr>
        <w:tc>
          <w:tcPr/>
          <w:p>
            <w:pPr>
              <w:pStyle w:val="Compact"/>
            </w:pPr>
            <w:r>
              <w:t xml:space="preserve">B6</w:t>
            </w:r>
          </w:p>
        </w:tc>
        <w:tc>
          <w:tcPr/>
          <w:p>
            <w:pPr>
              <w:pStyle w:val="Compact"/>
            </w:pPr>
            <w:r>
              <w:t xml:space="preserve">The inventory carries the seventeen fields (Part C)</w:t>
            </w:r>
          </w:p>
        </w:tc>
        <w:tc>
          <w:tcPr/>
          <w:p>
            <w:pPr>
              <w:pStyle w:val="Compact"/>
            </w:pPr>
            <w:r>
              <w:t xml:space="preserve">E-23</w:t>
            </w:r>
          </w:p>
        </w:tc>
        <w:tc>
          <w:tcPr/>
          <w:p>
            <w:pPr>
              <w:pStyle w:val="Compact"/>
            </w:pPr>
          </w:p>
        </w:tc>
      </w:tr>
    </w:tbl>
    <w:bookmarkEnd w:id="10"/>
    <w:bookmarkStart w:id="11" w:name="part-c.-the-seventeen-inventory-fields"/>
    <w:p>
      <w:pPr>
        <w:pStyle w:val="Heading2"/>
      </w:pPr>
      <w:r>
        <w:t xml:space="preserve">Part C. The seventeen inventory fields</w:t>
      </w:r>
    </w:p>
    <w:p>
      <w:pPr>
        <w:pStyle w:val="FirstParagraph"/>
      </w:pPr>
      <w:r>
        <w:t xml:space="preserve">The guideline specifies the fields. The last column applies a test that is the discipline's and not the guideline's: can the field's value change without anyone editing it? Where it cannot, a person wrote it. A practitioner shown this test named the two fields most often written by hand: the monitoring status and the next review date (Chapter 1). The produced form of a monitoring status is the time and content of the monitor's last run.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Field</w:t>
            </w:r>
          </w:p>
        </w:tc>
        <w:tc>
          <w:tcPr/>
          <w:p>
            <w:pPr>
              <w:pStyle w:val="Compact"/>
            </w:pPr>
            <w:r>
              <w:t xml:space="preserve">Required for</w:t>
            </w:r>
          </w:p>
        </w:tc>
        <w:tc>
          <w:tcPr/>
          <w:p>
            <w:pPr>
              <w:pStyle w:val="Compact"/>
            </w:pPr>
            <w:r>
              <w:t xml:space="preserve">Basis</w:t>
            </w:r>
          </w:p>
        </w:tc>
        <w:tc>
          <w:tcPr/>
          <w:p>
            <w:pPr>
              <w:pStyle w:val="Compact"/>
            </w:pPr>
            <w:r>
              <w:t xml:space="preserve">In the inventory (yes / no)</w:t>
            </w:r>
          </w:p>
        </w:tc>
        <w:tc>
          <w:tcPr/>
          <w:p>
            <w:pPr>
              <w:pStyle w:val="Compact"/>
            </w:pPr>
            <w:r>
              <w:t xml:space="preserve">Can its value change without anyone editing it? (yes: produced / no: typed)</w:t>
            </w:r>
          </w:p>
        </w:tc>
      </w:tr>
      <w:tr>
        <w:tc>
          <w:tcPr/>
          <w:p>
            <w:pPr>
              <w:pStyle w:val="Compact"/>
            </w:pPr>
            <w:r>
              <w:t xml:space="preserve">C1</w:t>
            </w:r>
          </w:p>
        </w:tc>
        <w:tc>
          <w:tcPr/>
          <w:p>
            <w:pPr>
              <w:pStyle w:val="Compact"/>
            </w:pPr>
            <w:r>
              <w:t xml:space="preserve">Model ID</w:t>
            </w:r>
          </w:p>
        </w:tc>
        <w:tc>
          <w:tcPr/>
          <w:p>
            <w:pPr>
              <w:pStyle w:val="Compact"/>
            </w:pPr>
            <w:r>
              <w:t xml:space="preserve">Every identified model</w:t>
            </w:r>
          </w:p>
        </w:tc>
        <w:tc>
          <w:tcPr/>
          <w:p>
            <w:pPr>
              <w:pStyle w:val="Compact"/>
            </w:pPr>
            <w:r>
              <w:t xml:space="preserve">E-23</w:t>
            </w:r>
          </w:p>
        </w:tc>
        <w:tc>
          <w:tcPr/>
          <w:p>
            <w:pPr>
              <w:pStyle w:val="Compact"/>
            </w:pPr>
          </w:p>
        </w:tc>
        <w:tc>
          <w:tcPr/>
          <w:p>
            <w:pPr>
              <w:pStyle w:val="Compact"/>
            </w:pPr>
          </w:p>
        </w:tc>
      </w:tr>
      <w:tr>
        <w:tc>
          <w:tcPr/>
          <w:p>
            <w:pPr>
              <w:pStyle w:val="Compact"/>
            </w:pPr>
            <w:r>
              <w:t xml:space="preserve">C2</w:t>
            </w:r>
          </w:p>
        </w:tc>
        <w:tc>
          <w:tcPr/>
          <w:p>
            <w:pPr>
              <w:pStyle w:val="Compact"/>
            </w:pPr>
            <w:r>
              <w:t xml:space="preserve">Name and description of key features and use</w:t>
            </w:r>
          </w:p>
        </w:tc>
        <w:tc>
          <w:tcPr/>
          <w:p>
            <w:pPr>
              <w:pStyle w:val="Compact"/>
            </w:pPr>
            <w:r>
              <w:t xml:space="preserve">Every identified model</w:t>
            </w:r>
          </w:p>
        </w:tc>
        <w:tc>
          <w:tcPr/>
          <w:p>
            <w:pPr>
              <w:pStyle w:val="Compact"/>
            </w:pPr>
            <w:r>
              <w:t xml:space="preserve">E-23</w:t>
            </w:r>
          </w:p>
        </w:tc>
        <w:tc>
          <w:tcPr/>
          <w:p>
            <w:pPr>
              <w:pStyle w:val="Compact"/>
            </w:pPr>
          </w:p>
        </w:tc>
        <w:tc>
          <w:tcPr/>
          <w:p>
            <w:pPr>
              <w:pStyle w:val="Compact"/>
            </w:pPr>
          </w:p>
        </w:tc>
      </w:tr>
      <w:tr>
        <w:tc>
          <w:tcPr/>
          <w:p>
            <w:pPr>
              <w:pStyle w:val="Compact"/>
            </w:pPr>
            <w:r>
              <w:t xml:space="preserve">C3</w:t>
            </w:r>
          </w:p>
        </w:tc>
        <w:tc>
          <w:tcPr/>
          <w:p>
            <w:pPr>
              <w:pStyle w:val="Compact"/>
            </w:pPr>
            <w:r>
              <w:t xml:space="preserve">Risk rating</w:t>
            </w:r>
          </w:p>
        </w:tc>
        <w:tc>
          <w:tcPr/>
          <w:p>
            <w:pPr>
              <w:pStyle w:val="Compact"/>
            </w:pPr>
            <w:r>
              <w:t xml:space="preserve">Every identified model</w:t>
            </w:r>
          </w:p>
        </w:tc>
        <w:tc>
          <w:tcPr/>
          <w:p>
            <w:pPr>
              <w:pStyle w:val="Compact"/>
            </w:pPr>
            <w:r>
              <w:t xml:space="preserve">E-23</w:t>
            </w:r>
          </w:p>
        </w:tc>
        <w:tc>
          <w:tcPr/>
          <w:p>
            <w:pPr>
              <w:pStyle w:val="Compact"/>
            </w:pPr>
          </w:p>
        </w:tc>
        <w:tc>
          <w:tcPr/>
          <w:p>
            <w:pPr>
              <w:pStyle w:val="Compact"/>
            </w:pPr>
          </w:p>
        </w:tc>
      </w:tr>
      <w:tr>
        <w:tc>
          <w:tcPr/>
          <w:p>
            <w:pPr>
              <w:pStyle w:val="Compact"/>
            </w:pPr>
            <w:r>
              <w:t xml:space="preserve">C4</w:t>
            </w:r>
          </w:p>
        </w:tc>
        <w:tc>
          <w:tcPr/>
          <w:p>
            <w:pPr>
              <w:pStyle w:val="Compact"/>
            </w:pPr>
            <w:r>
              <w:t xml:space="preserve">Owner</w:t>
            </w:r>
          </w:p>
        </w:tc>
        <w:tc>
          <w:tcPr/>
          <w:p>
            <w:pPr>
              <w:pStyle w:val="Compact"/>
            </w:pPr>
            <w:r>
              <w:t xml:space="preserve">Every identified model</w:t>
            </w:r>
          </w:p>
        </w:tc>
        <w:tc>
          <w:tcPr/>
          <w:p>
            <w:pPr>
              <w:pStyle w:val="Compact"/>
            </w:pPr>
            <w:r>
              <w:t xml:space="preserve">E-23</w:t>
            </w:r>
          </w:p>
        </w:tc>
        <w:tc>
          <w:tcPr/>
          <w:p>
            <w:pPr>
              <w:pStyle w:val="Compact"/>
            </w:pPr>
          </w:p>
        </w:tc>
        <w:tc>
          <w:tcPr/>
          <w:p>
            <w:pPr>
              <w:pStyle w:val="Compact"/>
            </w:pPr>
          </w:p>
        </w:tc>
      </w:tr>
      <w:tr>
        <w:tc>
          <w:tcPr/>
          <w:p>
            <w:pPr>
              <w:pStyle w:val="Compact"/>
            </w:pPr>
            <w:r>
              <w:t xml:space="preserve">C5</w:t>
            </w:r>
          </w:p>
        </w:tc>
        <w:tc>
          <w:tcPr/>
          <w:p>
            <w:pPr>
              <w:pStyle w:val="Compact"/>
            </w:pPr>
            <w:r>
              <w:t xml:space="preserve">Developer</w:t>
            </w:r>
          </w:p>
        </w:tc>
        <w:tc>
          <w:tcPr/>
          <w:p>
            <w:pPr>
              <w:pStyle w:val="Compact"/>
            </w:pPr>
            <w:r>
              <w:t xml:space="preserve">Every identified model</w:t>
            </w:r>
          </w:p>
        </w:tc>
        <w:tc>
          <w:tcPr/>
          <w:p>
            <w:pPr>
              <w:pStyle w:val="Compact"/>
            </w:pPr>
            <w:r>
              <w:t xml:space="preserve">E-23</w:t>
            </w:r>
          </w:p>
        </w:tc>
        <w:tc>
          <w:tcPr/>
          <w:p>
            <w:pPr>
              <w:pStyle w:val="Compact"/>
            </w:pPr>
          </w:p>
        </w:tc>
        <w:tc>
          <w:tcPr/>
          <w:p>
            <w:pPr>
              <w:pStyle w:val="Compact"/>
            </w:pPr>
          </w:p>
        </w:tc>
      </w:tr>
      <w:tr>
        <w:tc>
          <w:tcPr/>
          <w:p>
            <w:pPr>
              <w:pStyle w:val="Compact"/>
            </w:pPr>
            <w:r>
              <w:t xml:space="preserve">C6</w:t>
            </w:r>
          </w:p>
        </w:tc>
        <w:tc>
          <w:tcPr/>
          <w:p>
            <w:pPr>
              <w:pStyle w:val="Compact"/>
            </w:pPr>
            <w:r>
              <w:t xml:space="preserve">Origin</w:t>
            </w:r>
          </w:p>
        </w:tc>
        <w:tc>
          <w:tcPr/>
          <w:p>
            <w:pPr>
              <w:pStyle w:val="Compact"/>
            </w:pPr>
            <w:r>
              <w:t xml:space="preserve">Every identified model</w:t>
            </w:r>
          </w:p>
        </w:tc>
        <w:tc>
          <w:tcPr/>
          <w:p>
            <w:pPr>
              <w:pStyle w:val="Compact"/>
            </w:pPr>
            <w:r>
              <w:t xml:space="preserve">E-23</w:t>
            </w:r>
          </w:p>
        </w:tc>
        <w:tc>
          <w:tcPr/>
          <w:p>
            <w:pPr>
              <w:pStyle w:val="Compact"/>
            </w:pPr>
          </w:p>
        </w:tc>
        <w:tc>
          <w:tcPr/>
          <w:p>
            <w:pPr>
              <w:pStyle w:val="Compact"/>
            </w:pPr>
          </w:p>
        </w:tc>
      </w:tr>
      <w:tr>
        <w:tc>
          <w:tcPr/>
          <w:p>
            <w:pPr>
              <w:pStyle w:val="Compact"/>
            </w:pPr>
            <w:r>
              <w:t xml:space="preserve">C7</w:t>
            </w:r>
          </w:p>
        </w:tc>
        <w:tc>
          <w:tcPr/>
          <w:p>
            <w:pPr>
              <w:pStyle w:val="Compact"/>
            </w:pPr>
            <w:r>
              <w:t xml:space="preserve">Version</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r>
        <w:tc>
          <w:tcPr/>
          <w:p>
            <w:pPr>
              <w:pStyle w:val="Compact"/>
            </w:pPr>
            <w:r>
              <w:t xml:space="preserve">C8</w:t>
            </w:r>
          </w:p>
        </w:tc>
        <w:tc>
          <w:tcPr/>
          <w:p>
            <w:pPr>
              <w:pStyle w:val="Compact"/>
            </w:pPr>
            <w:r>
              <w:t xml:space="preserve">Date of deployment into production</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r>
        <w:tc>
          <w:tcPr/>
          <w:p>
            <w:pPr>
              <w:pStyle w:val="Compact"/>
            </w:pPr>
            <w:r>
              <w:t xml:space="preserve">C9</w:t>
            </w:r>
          </w:p>
        </w:tc>
        <w:tc>
          <w:tcPr/>
          <w:p>
            <w:pPr>
              <w:pStyle w:val="Compact"/>
            </w:pPr>
            <w:r>
              <w:t xml:space="preserve">Reviewer</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r>
        <w:tc>
          <w:tcPr/>
          <w:p>
            <w:pPr>
              <w:pStyle w:val="Compact"/>
            </w:pPr>
            <w:r>
              <w:t xml:space="preserve">C10</w:t>
            </w:r>
          </w:p>
        </w:tc>
        <w:tc>
          <w:tcPr/>
          <w:p>
            <w:pPr>
              <w:pStyle w:val="Compact"/>
            </w:pPr>
            <w:r>
              <w:t xml:space="preserve">Approver</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r>
        <w:tc>
          <w:tcPr/>
          <w:p>
            <w:pPr>
              <w:pStyle w:val="Compact"/>
            </w:pPr>
            <w:r>
              <w:t xml:space="preserve">C11</w:t>
            </w:r>
          </w:p>
        </w:tc>
        <w:tc>
          <w:tcPr/>
          <w:p>
            <w:pPr>
              <w:pStyle w:val="Compact"/>
            </w:pPr>
            <w:r>
              <w:t xml:space="preserve">Dependencies</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r>
        <w:tc>
          <w:tcPr/>
          <w:p>
            <w:pPr>
              <w:pStyle w:val="Compact"/>
            </w:pPr>
            <w:r>
              <w:t xml:space="preserve">C12</w:t>
            </w:r>
          </w:p>
        </w:tc>
        <w:tc>
          <w:tcPr/>
          <w:p>
            <w:pPr>
              <w:pStyle w:val="Compact"/>
            </w:pPr>
            <w:r>
              <w:t xml:space="preserve">Data sources</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r>
        <w:tc>
          <w:tcPr/>
          <w:p>
            <w:pPr>
              <w:pStyle w:val="Compact"/>
            </w:pPr>
            <w:r>
              <w:t xml:space="preserve">C13</w:t>
            </w:r>
          </w:p>
        </w:tc>
        <w:tc>
          <w:tcPr/>
          <w:p>
            <w:pPr>
              <w:pStyle w:val="Compact"/>
            </w:pPr>
            <w:r>
              <w:t xml:space="preserve">Approved uses</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r>
        <w:tc>
          <w:tcPr/>
          <w:p>
            <w:pPr>
              <w:pStyle w:val="Compact"/>
            </w:pPr>
            <w:r>
              <w:t xml:space="preserve">C14</w:t>
            </w:r>
          </w:p>
        </w:tc>
        <w:tc>
          <w:tcPr/>
          <w:p>
            <w:pPr>
              <w:pStyle w:val="Compact"/>
            </w:pPr>
            <w:r>
              <w:t xml:space="preserve">Limitations, including exceptions</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r>
        <w:tc>
          <w:tcPr/>
          <w:p>
            <w:pPr>
              <w:pStyle w:val="Compact"/>
            </w:pPr>
            <w:r>
              <w:t xml:space="preserve">C15</w:t>
            </w:r>
          </w:p>
        </w:tc>
        <w:tc>
          <w:tcPr/>
          <w:p>
            <w:pPr>
              <w:pStyle w:val="Compact"/>
            </w:pPr>
            <w:r>
              <w:t xml:space="preserve">Date of the most recent review</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r>
        <w:tc>
          <w:tcPr/>
          <w:p>
            <w:pPr>
              <w:pStyle w:val="Compact"/>
            </w:pPr>
            <w:r>
              <w:t xml:space="preserve">C16</w:t>
            </w:r>
          </w:p>
        </w:tc>
        <w:tc>
          <w:tcPr/>
          <w:p>
            <w:pPr>
              <w:pStyle w:val="Compact"/>
            </w:pPr>
            <w:r>
              <w:t xml:space="preserve">Monitoring status</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r>
        <w:tc>
          <w:tcPr/>
          <w:p>
            <w:pPr>
              <w:pStyle w:val="Compact"/>
            </w:pPr>
            <w:r>
              <w:t xml:space="preserve">C17</w:t>
            </w:r>
          </w:p>
        </w:tc>
        <w:tc>
          <w:tcPr/>
          <w:p>
            <w:pPr>
              <w:pStyle w:val="Compact"/>
            </w:pPr>
            <w:r>
              <w:t xml:space="preserve">Next review date</w:t>
            </w:r>
          </w:p>
        </w:tc>
        <w:tc>
          <w:tcPr/>
          <w:p>
            <w:pPr>
              <w:pStyle w:val="Compact"/>
            </w:pPr>
            <w:r>
              <w:t xml:space="preserve">Every model of non-negligible risk</w:t>
            </w:r>
          </w:p>
        </w:tc>
        <w:tc>
          <w:tcPr/>
          <w:p>
            <w:pPr>
              <w:pStyle w:val="Compact"/>
            </w:pPr>
            <w:r>
              <w:t xml:space="preserve">E-23</w:t>
            </w:r>
          </w:p>
        </w:tc>
        <w:tc>
          <w:tcPr/>
          <w:p>
            <w:pPr>
              <w:pStyle w:val="Compact"/>
            </w:pPr>
          </w:p>
        </w:tc>
        <w:tc>
          <w:tcPr/>
          <w:p>
            <w:pPr>
              <w:pStyle w:val="Compact"/>
            </w:pPr>
          </w:p>
        </w:tc>
      </w:tr>
    </w:tbl>
    <w:bookmarkEnd w:id="11"/>
    <w:bookmarkStart w:id="12" w:name="X5e2c07fcd353b6f1aadaffb9ba9eafff94d8ef1"/>
    <w:p>
      <w:pPr>
        <w:pStyle w:val="Heading2"/>
      </w:pPr>
      <w:r>
        <w:t xml:space="preserve">Part D. The third list: systems never inventoried (put this list on top)</w:t>
      </w:r>
    </w:p>
    <w:p>
      <w:pPr>
        <w:pStyle w:val="FirstParagraph"/>
      </w:pPr>
      <w:r>
        <w:t xml:space="preserve">The carve-out travels with every sentence about all models: only models whose inherent risk is determined to be non-negligible enter the inventory and full lifecycle governance, and an institution may define a rating category that implies negligible inherent risk and exempts such models, with a process to approve and track the exemptions (E-23). An institution that has not rated a system has decided none of the things the rating drives, and an unrated system is not a low-risk system (Chapter 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System</w:t>
            </w:r>
          </w:p>
        </w:tc>
        <w:tc>
          <w:tcPr/>
          <w:p>
            <w:pPr>
              <w:pStyle w:val="Compact"/>
            </w:pPr>
            <w:r>
              <w:t xml:space="preserve">Why it was never in the inventory: the definition did not reach it, or someone decided it was a tool</w:t>
            </w:r>
          </w:p>
        </w:tc>
        <w:tc>
          <w:tcPr/>
          <w:p>
            <w:pPr>
              <w:pStyle w:val="Compact"/>
            </w:pPr>
            <w:r>
              <w:t xml:space="preserve">Rating set (tier and date), or "not rated"</w:t>
            </w:r>
          </w:p>
        </w:tc>
        <w:tc>
          <w:tcPr/>
          <w:p>
            <w:pPr>
              <w:pStyle w:val="Compact"/>
            </w:pPr>
            <w:r>
              <w:t xml:space="preserve">Where rated negligible: the record of the exemption's approval and tracking (E-23)</w:t>
            </w:r>
          </w:p>
        </w:tc>
      </w:tr>
      <w:tr>
        <w:tc>
          <w:tcPr/>
          <w:p>
            <w:pPr>
              <w:pStyle w:val="Compact"/>
            </w:pPr>
            <w:r>
              <w:t xml:space="preserve">D1</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D2</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D3</w:t>
            </w:r>
          </w:p>
        </w:tc>
        <w:tc>
          <w:tcPr/>
          <w:p>
            <w:pPr>
              <w:pStyle w:val="Compact"/>
            </w:pPr>
          </w:p>
        </w:tc>
        <w:tc>
          <w:tcPr/>
          <w:p>
            <w:pPr>
              <w:pStyle w:val="Compact"/>
            </w:pPr>
          </w:p>
        </w:tc>
        <w:tc>
          <w:tcPr/>
          <w:p>
            <w:pPr>
              <w:pStyle w:val="Compact"/>
            </w:pPr>
          </w:p>
        </w:tc>
        <w:tc>
          <w:tcPr/>
          <w:p>
            <w:pPr>
              <w:pStyle w:val="Compact"/>
            </w:pPr>
          </w:p>
        </w:tc>
      </w:tr>
    </w:tbl>
    <w:p>
      <w:pPr>
        <w:pStyle w:val="BodyText"/>
      </w:pPr>
      <w:r>
        <w:t xml:space="preserve">Add rows as needed.</w:t>
      </w:r>
    </w:p>
    <w:bookmarkEnd w:id="12"/>
    <w:bookmarkStart w:id="13" w:name="part-e.-one-rating-set"/>
    <w:p>
      <w:pPr>
        <w:pStyle w:val="Heading2"/>
      </w:pPr>
      <w:r>
        <w:t xml:space="preserve">Part E. One rating, set</w:t>
      </w:r>
    </w:p>
    <w:p>
      <w:pPr>
        <w:pStyle w:val="FirstParagraph"/>
      </w:pPr>
      <w:r>
        <w:t xml:space="preserve">For each system on the third list, set the rating. The first three steps apply E-23's own factors; the fourth is the discipline's way of recording them (Chapter 1). The scale is the institution's; the book supplies none.</w:t>
      </w:r>
    </w:p>
    <w:p>
      <w:pPr>
        <w:pStyle w:val="BodyText"/>
      </w:pPr>
      <w:r>
        <w:rPr>
          <w:b/>
          <w:bCs/>
        </w:rPr>
        <w:t xml:space="preserve">Step 1 and Step 2. E-23's factors.</w:t>
      </w:r>
      <w:r>
        <w:t xml:space="preserve"> </w:t>
      </w:r>
      <w:r>
        <w:t xml:space="preserve">Write each factor with the fact that moved it.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Factor</w:t>
            </w:r>
          </w:p>
        </w:tc>
        <w:tc>
          <w:tcPr/>
          <w:p>
            <w:pPr>
              <w:pStyle w:val="Compact"/>
            </w:pPr>
            <w:r>
              <w:t xml:space="preserve">Basis</w:t>
            </w:r>
          </w:p>
        </w:tc>
        <w:tc>
          <w:tcPr/>
          <w:p>
            <w:pPr>
              <w:pStyle w:val="Compact"/>
            </w:pPr>
            <w:r>
              <w:t xml:space="preserve">The fact that moved it</w:t>
            </w:r>
          </w:p>
        </w:tc>
      </w:tr>
      <w:tr>
        <w:tc>
          <w:tcPr/>
          <w:p>
            <w:pPr>
              <w:pStyle w:val="Compact"/>
            </w:pPr>
            <w:r>
              <w:t xml:space="preserve">E1</w:t>
            </w:r>
          </w:p>
        </w:tc>
        <w:tc>
          <w:tcPr/>
          <w:p>
            <w:pPr>
              <w:pStyle w:val="Compact"/>
            </w:pPr>
            <w:r>
              <w:t xml:space="preserve">System</w:t>
            </w:r>
          </w:p>
        </w:tc>
        <w:tc>
          <w:tcPr/>
          <w:p>
            <w:pPr>
              <w:pStyle w:val="Compact"/>
            </w:pPr>
          </w:p>
        </w:tc>
        <w:tc>
          <w:tcPr/>
          <w:p>
            <w:pPr>
              <w:pStyle w:val="Compact"/>
            </w:pPr>
          </w:p>
        </w:tc>
      </w:tr>
      <w:tr>
        <w:tc>
          <w:tcPr/>
          <w:p>
            <w:pPr>
              <w:pStyle w:val="Compact"/>
            </w:pPr>
            <w:r>
              <w:t xml:space="preserve">E2</w:t>
            </w:r>
          </w:p>
        </w:tc>
        <w:tc>
          <w:tcPr/>
          <w:p>
            <w:pPr>
              <w:pStyle w:val="Compact"/>
            </w:pPr>
            <w:r>
              <w:t xml:space="preserve">Materiality of the model's impact from its use</w:t>
            </w:r>
          </w:p>
        </w:tc>
        <w:tc>
          <w:tcPr/>
          <w:p>
            <w:pPr>
              <w:pStyle w:val="Compact"/>
            </w:pPr>
            <w:r>
              <w:t xml:space="preserve">E-23</w:t>
            </w:r>
          </w:p>
        </w:tc>
        <w:tc>
          <w:tcPr/>
          <w:p>
            <w:pPr>
              <w:pStyle w:val="Compact"/>
            </w:pPr>
          </w:p>
        </w:tc>
      </w:tr>
      <w:tr>
        <w:tc>
          <w:tcPr/>
          <w:p>
            <w:pPr>
              <w:pStyle w:val="Compact"/>
            </w:pPr>
            <w:r>
              <w:t xml:space="preserve">E3</w:t>
            </w:r>
          </w:p>
        </w:tc>
        <w:tc>
          <w:tcPr/>
          <w:p>
            <w:pPr>
              <w:pStyle w:val="Compact"/>
            </w:pPr>
            <w:r>
              <w:t xml:space="preserve">Business use or purpose</w:t>
            </w:r>
          </w:p>
        </w:tc>
        <w:tc>
          <w:tcPr/>
          <w:p>
            <w:pPr>
              <w:pStyle w:val="Compact"/>
            </w:pPr>
            <w:r>
              <w:t xml:space="preserve">E-23</w:t>
            </w:r>
          </w:p>
        </w:tc>
        <w:tc>
          <w:tcPr/>
          <w:p>
            <w:pPr>
              <w:pStyle w:val="Compact"/>
            </w:pPr>
          </w:p>
        </w:tc>
      </w:tr>
      <w:tr>
        <w:tc>
          <w:tcPr/>
          <w:p>
            <w:pPr>
              <w:pStyle w:val="Compact"/>
            </w:pPr>
            <w:r>
              <w:t xml:space="preserve">E4</w:t>
            </w:r>
          </w:p>
        </w:tc>
        <w:tc>
          <w:tcPr/>
          <w:p>
            <w:pPr>
              <w:pStyle w:val="Compact"/>
            </w:pPr>
            <w:r>
              <w:t xml:space="preserve">Complexity or level of autonomy</w:t>
            </w:r>
          </w:p>
        </w:tc>
        <w:tc>
          <w:tcPr/>
          <w:p>
            <w:pPr>
              <w:pStyle w:val="Compact"/>
            </w:pPr>
            <w:r>
              <w:t xml:space="preserve">E-23</w:t>
            </w:r>
          </w:p>
        </w:tc>
        <w:tc>
          <w:tcPr/>
          <w:p>
            <w:pPr>
              <w:pStyle w:val="Compact"/>
            </w:pPr>
          </w:p>
        </w:tc>
      </w:tr>
      <w:tr>
        <w:tc>
          <w:tcPr/>
          <w:p>
            <w:pPr>
              <w:pStyle w:val="Compact"/>
            </w:pPr>
            <w:r>
              <w:t xml:space="preserve">E5</w:t>
            </w:r>
          </w:p>
        </w:tc>
        <w:tc>
          <w:tcPr/>
          <w:p>
            <w:pPr>
              <w:pStyle w:val="Compact"/>
            </w:pPr>
            <w:r>
              <w:t xml:space="preserve">Reliability of data inputs</w:t>
            </w:r>
          </w:p>
        </w:tc>
        <w:tc>
          <w:tcPr/>
          <w:p>
            <w:pPr>
              <w:pStyle w:val="Compact"/>
            </w:pPr>
            <w:r>
              <w:t xml:space="preserve">E-23</w:t>
            </w:r>
          </w:p>
        </w:tc>
        <w:tc>
          <w:tcPr/>
          <w:p>
            <w:pPr>
              <w:pStyle w:val="Compact"/>
            </w:pPr>
          </w:p>
        </w:tc>
      </w:tr>
      <w:tr>
        <w:tc>
          <w:tcPr/>
          <w:p>
            <w:pPr>
              <w:pStyle w:val="Compact"/>
            </w:pPr>
            <w:r>
              <w:t xml:space="preserve">E6</w:t>
            </w:r>
          </w:p>
        </w:tc>
        <w:tc>
          <w:tcPr/>
          <w:p>
            <w:pPr>
              <w:pStyle w:val="Compact"/>
            </w:pPr>
            <w:r>
              <w:t xml:space="preserve">Customer impact</w:t>
            </w:r>
          </w:p>
        </w:tc>
        <w:tc>
          <w:tcPr/>
          <w:p>
            <w:pPr>
              <w:pStyle w:val="Compact"/>
            </w:pPr>
            <w:r>
              <w:t xml:space="preserve">E-23</w:t>
            </w:r>
          </w:p>
        </w:tc>
        <w:tc>
          <w:tcPr/>
          <w:p>
            <w:pPr>
              <w:pStyle w:val="Compact"/>
            </w:pPr>
          </w:p>
        </w:tc>
      </w:tr>
      <w:tr>
        <w:tc>
          <w:tcPr/>
          <w:p>
            <w:pPr>
              <w:pStyle w:val="Compact"/>
            </w:pPr>
            <w:r>
              <w:t xml:space="preserve">E7</w:t>
            </w:r>
          </w:p>
        </w:tc>
        <w:tc>
          <w:tcPr/>
          <w:p>
            <w:pPr>
              <w:pStyle w:val="Compact"/>
            </w:pPr>
            <w:r>
              <w:t xml:space="preserve">Regulatory risk: name the instruments the institution identifies, rather than leave the line blank. E-23 expects development data to adhere to "statutory, regulatory, and internal requirements for data ethics and customer privacy"; Chapter 1 records this line for a model that influences a decision about a person and processes personal data</w:t>
            </w:r>
          </w:p>
        </w:tc>
        <w:tc>
          <w:tcPr/>
          <w:p>
            <w:pPr>
              <w:pStyle w:val="Compact"/>
            </w:pPr>
            <w:r>
              <w:t xml:space="preserve">E-23</w:t>
            </w:r>
          </w:p>
        </w:tc>
        <w:tc>
          <w:tcPr/>
          <w:p>
            <w:pPr>
              <w:pStyle w:val="Compact"/>
            </w:pPr>
          </w:p>
        </w:tc>
      </w:tr>
    </w:tbl>
    <w:p>
      <w:pPr>
        <w:pStyle w:val="BodyText"/>
      </w:pPr>
      <w:r>
        <w:rPr>
          <w:b/>
          <w:bCs/>
        </w:rPr>
        <w:t xml:space="preserve">Step 3. Rated on its own.</w:t>
      </w:r>
      <w:r>
        <w:t xml:space="preserve"> </w:t>
      </w:r>
      <w:r>
        <w:t xml:space="preserve">An externally developed model is rated on a standalone basis; the vendor's assurance informs the rating and does not set it. For a branch, a rating given by the parent "may not reflect the risk" to the branch (OSFI's letter); the book reads the parent's rating as an input to the branch's own standalone rating, not a substitute for it.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E8</w:t>
            </w:r>
          </w:p>
        </w:tc>
        <w:tc>
          <w:tcPr/>
          <w:p>
            <w:pPr>
              <w:pStyle w:val="Compact"/>
            </w:pPr>
            <w:r>
              <w:t xml:space="preserve">Where the model is external or from a parent or head office: the vendor's assurance or the parent's rating, recorded as an input to this rating</w:t>
            </w:r>
          </w:p>
        </w:tc>
        <w:tc>
          <w:tcPr/>
          <w:p>
            <w:pPr>
              <w:pStyle w:val="Compact"/>
            </w:pPr>
            <w:r>
              <w:t xml:space="preserve">E-23; the input reading is the book's (Chapter 1)</w:t>
            </w:r>
          </w:p>
        </w:tc>
        <w:tc>
          <w:tcPr/>
          <w:p>
            <w:pPr>
              <w:pStyle w:val="Compact"/>
            </w:pPr>
          </w:p>
        </w:tc>
      </w:tr>
    </w:tbl>
    <w:p>
      <w:pPr>
        <w:pStyle w:val="BodyText"/>
      </w:pPr>
      <w:r>
        <w:rPr>
          <w:b/>
          <w:bCs/>
        </w:rPr>
        <w:t xml:space="preserve">Step 4. The record.</w:t>
      </w:r>
      <w:r>
        <w:t xml:space="preserve"> </w:t>
      </w:r>
      <w:r>
        <w:t xml:space="preserve">The discipline's way of recording the rating (Chapter 1).</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E9</w:t>
            </w:r>
          </w:p>
        </w:tc>
        <w:tc>
          <w:tcPr/>
          <w:p>
            <w:pPr>
              <w:pStyle w:val="Compact"/>
            </w:pPr>
            <w:r>
              <w:t xml:space="preserve">Tier, on the institution's own scale</w:t>
            </w:r>
          </w:p>
        </w:tc>
        <w:tc>
          <w:tcPr/>
          <w:p>
            <w:pPr>
              <w:pStyle w:val="Compact"/>
            </w:pPr>
            <w:r>
              <w:t xml:space="preserve">E-23 (a categorical tier); the scale is the institution's</w:t>
            </w:r>
          </w:p>
        </w:tc>
        <w:tc>
          <w:tcPr/>
          <w:p>
            <w:pPr>
              <w:pStyle w:val="Compact"/>
            </w:pPr>
          </w:p>
        </w:tc>
      </w:tr>
      <w:tr>
        <w:tc>
          <w:tcPr/>
          <w:p>
            <w:pPr>
              <w:pStyle w:val="Compact"/>
            </w:pPr>
            <w:r>
              <w:t xml:space="preserve">E10</w:t>
            </w:r>
          </w:p>
        </w:tc>
        <w:tc>
          <w:tcPr/>
          <w:p>
            <w:pPr>
              <w:pStyle w:val="Compact"/>
            </w:pPr>
            <w:r>
              <w:t xml:space="preserve">Date set</w:t>
            </w:r>
          </w:p>
        </w:tc>
        <w:tc>
          <w:tcPr/>
          <w:p>
            <w:pPr>
              <w:pStyle w:val="Compact"/>
            </w:pPr>
            <w:r>
              <w:t xml:space="preserve">The discipline's (Chapter 1)</w:t>
            </w:r>
          </w:p>
        </w:tc>
        <w:tc>
          <w:tcPr/>
          <w:p>
            <w:pPr>
              <w:pStyle w:val="Compact"/>
            </w:pPr>
          </w:p>
        </w:tc>
      </w:tr>
      <w:tr>
        <w:tc>
          <w:tcPr/>
          <w:p>
            <w:pPr>
              <w:pStyle w:val="Compact"/>
            </w:pPr>
            <w:r>
              <w:t xml:space="preserve">E11</w:t>
            </w:r>
          </w:p>
        </w:tc>
        <w:tc>
          <w:tcPr/>
          <w:p>
            <w:pPr>
              <w:pStyle w:val="Compact"/>
            </w:pPr>
            <w:r>
              <w:t xml:space="preserve">Name of the person who set it</w:t>
            </w:r>
          </w:p>
        </w:tc>
        <w:tc>
          <w:tcPr/>
          <w:p>
            <w:pPr>
              <w:pStyle w:val="Compact"/>
            </w:pPr>
            <w:r>
              <w:t xml:space="preserve">The discipline's (Chapter 1)</w:t>
            </w:r>
          </w:p>
        </w:tc>
        <w:tc>
          <w:tcPr/>
          <w:p>
            <w:pPr>
              <w:pStyle w:val="Compact"/>
            </w:pPr>
          </w:p>
        </w:tc>
      </w:tr>
      <w:tr>
        <w:tc>
          <w:tcPr/>
          <w:p>
            <w:pPr>
              <w:pStyle w:val="Compact"/>
            </w:pPr>
            <w:r>
              <w:t xml:space="preserve">E12</w:t>
            </w:r>
          </w:p>
        </w:tc>
        <w:tc>
          <w:tcPr/>
          <w:p>
            <w:pPr>
              <w:pStyle w:val="Compact"/>
            </w:pPr>
            <w:r>
              <w:t xml:space="preserve">Date the rating is next re-assessed, at the interval the rating itself drives</w:t>
            </w:r>
          </w:p>
        </w:tc>
        <w:tc>
          <w:tcPr/>
          <w:p>
            <w:pPr>
              <w:pStyle w:val="Compact"/>
            </w:pPr>
            <w:r>
              <w:t xml:space="preserve">E-23</w:t>
            </w:r>
          </w:p>
        </w:tc>
        <w:tc>
          <w:tcPr/>
          <w:p>
            <w:pPr>
              <w:pStyle w:val="Compact"/>
            </w:pPr>
          </w:p>
        </w:tc>
      </w:tr>
      <w:tr>
        <w:tc>
          <w:tcPr/>
          <w:p>
            <w:pPr>
              <w:pStyle w:val="Compact"/>
            </w:pPr>
            <w:r>
              <w:t xml:space="preserve">E13</w:t>
            </w:r>
          </w:p>
        </w:tc>
        <w:tc>
          <w:tcPr/>
          <w:p>
            <w:pPr>
              <w:pStyle w:val="Compact"/>
            </w:pPr>
            <w:r>
              <w:t xml:space="preserve">Trigger events on which the rating is reviewed sooner</w:t>
            </w:r>
          </w:p>
        </w:tc>
        <w:tc>
          <w:tcPr/>
          <w:p>
            <w:pPr>
              <w:pStyle w:val="Compact"/>
            </w:pPr>
            <w:r>
              <w:t xml:space="preserve">E-23</w:t>
            </w:r>
          </w:p>
        </w:tc>
        <w:tc>
          <w:tcPr/>
          <w:p>
            <w:pPr>
              <w:pStyle w:val="Compact"/>
            </w:pPr>
          </w:p>
        </w:tc>
      </w:tr>
    </w:tbl>
    <w:p>
      <w:pPr>
        <w:pStyle w:val="BodyText"/>
      </w:pPr>
      <w:r>
        <w:t xml:space="preserve">The rating drives the frequency, intensity and scope of review, the documentation required, the level of authority needed to approve the model and any exemptions, the frequency, intensity and scope of monitoring, and the interval at which the rating itself is re-assessed (E-23). A rating recorded this way arrives with its reasons, and a later reader can dispute a factor rather than a word.</w:t>
      </w:r>
    </w:p>
    <w:bookmarkEnd w:id="13"/>
    <w:bookmarkStart w:id="14" w:name="X1e700944193c8ebdb4ce2f242820f9ae218b766"/>
    <w:p>
      <w:pPr>
        <w:pStyle w:val="Heading2"/>
      </w:pPr>
      <w:r>
        <w:t xml:space="preserve">The claim, the test, the artifact (Chapter 1)</w:t>
      </w:r>
    </w:p>
    <w:p>
      <w:pPr>
        <w:pStyle w:val="FirstParagraph"/>
      </w:pPr>
      <w:r>
        <w:rPr>
          <w:b/>
          <w:bCs/>
        </w:rPr>
        <w:t xml:space="preserve">The claim.</w:t>
      </w:r>
      <w:r>
        <w:t xml:space="preserve"> </w:t>
      </w:r>
      <w:r>
        <w:t xml:space="preserve">From 1 May 2027, what a system does and the risk it carries decide its scope, and a rating, even a low one, is a record.</w:t>
      </w:r>
    </w:p>
    <w:p>
      <w:pPr>
        <w:pStyle w:val="BodyText"/>
      </w:pPr>
      <w:r>
        <w:rPr>
          <w:b/>
          <w:bCs/>
        </w:rPr>
        <w:t xml:space="preserve">The test.</w:t>
      </w:r>
      <w:r>
        <w:t xml:space="preserve"> </w:t>
      </w:r>
      <w:r>
        <w:t xml:space="preserve">Mark your MRM framework in three colors: answers, does not answer, never inventoried.</w:t>
      </w:r>
    </w:p>
    <w:p>
      <w:pPr>
        <w:pStyle w:val="BodyText"/>
      </w:pPr>
      <w:r>
        <w:rPr>
          <w:b/>
          <w:bCs/>
        </w:rPr>
        <w:t xml:space="preserve">The artifact.</w:t>
      </w:r>
      <w:r>
        <w:t xml:space="preserve"> </w:t>
      </w:r>
      <w:r>
        <w:t xml:space="preserve">The framework, marked, with the third list on top.</w:t>
      </w:r>
    </w:p>
    <w:p>
      <w:pPr>
        <w:pStyle w:val="BodyText"/>
      </w:pPr>
      <w:r>
        <w:t xml:space="preserve">nabeelkhan.com/e-23/scope-check. Questions: nabeelkhan.com/contact.</w:t>
      </w:r>
    </w:p>
    <w:p>
      <w:r>
        <w:pict>
          <v:rect style="width:0;height:1.5pt" o:hralign="center" o:hrstd="t" o:hr="t"/>
        </w:pict>
      </w:r>
    </w:p>
    <w:p>
      <w:pPr>
        <w:pStyle w:val="FirstParagraph"/>
      </w:pPr>
      <w:r>
        <w:rPr>
          <w:i/>
          <w:iCs/>
        </w:rPr>
        <w:t xml:space="preserve">Licensed under the Companion Working Files Licence 1.0 (nabeelkhan.com/terms#companion-files). You may complete, adapt and use this file inside your own organisation, including commercially, and you may have an AI assistant help you complete it. You may not sell it, or republish it as a template set. Keep this credit line in the document.</w:t>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E-23 scope self-check</dc:title>
  <dc:creator>Dr. Nabeel A. Khan</dc:creator>
  <cp:keywords/>
  <dcterms:created xsi:type="dcterms:W3CDTF">2026-10-18T10:02:50Z</dcterms:created>
  <dcterms:modified xsi:type="dcterms:W3CDTF">2026-10-18T10:02:50Z</dcterms:modified>
</cp:coreProperties>
</file>

<file path=docProps/custom.xml><?xml version="1.0" encoding="utf-8"?>
<Properties xmlns="http://schemas.openxmlformats.org/officeDocument/2006/custom-properties" xmlns:vt="http://schemas.openxmlformats.org/officeDocument/2006/docPropsVTypes"/>
</file>