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BOE Declaration template and the Coldbrook worked example</w:t>
      </w:r>
    </w:p>
    <w:p>
      <w:pPr>
        <w:pStyle w:val="Author"/>
      </w:pPr>
      <w:r>
        <w:t xml:space="preserve">Dr. Nabeel A. Khan</w:t>
      </w:r>
    </w:p>
    <w:bookmarkStart w:id="14" w:name="X62b7fc0ddb82aff24c046390f1496bc341a699b"/>
    <w:p>
      <w:pPr>
        <w:pStyle w:val="Heading1"/>
      </w:pPr>
      <w:r>
        <w:t xml:space="preserve">The BOE Declaration template and the Coldbrook worked example</w:t>
      </w:r>
    </w:p>
    <w:p>
      <w:pPr>
        <w:pStyle w:val="FirstParagraph"/>
      </w:pPr>
      <w:r>
        <w:rPr>
          <w:i/>
          <w:iCs/>
        </w:rPr>
        <w:t xml:space="preserve">From OSFI E-23 for AI Systems by Dr. Nabeel A. Khan (iSystematic Inc., 2026). Version 1.1, 18 October 2026. nabeelkhan.com/e-23/boe-declaration</w:t>
      </w:r>
    </w:p>
    <w:p>
      <w:pPr>
        <w:pStyle w:val="BodyText"/>
      </w:pPr>
      <w:r>
        <w:t xml:space="preserve">Chapter 6 of</w:t>
      </w:r>
      <w:r>
        <w:t xml:space="preserve"> </w:t>
      </w:r>
      <w:r>
        <w:rPr>
          <w:i/>
          <w:iCs/>
        </w:rPr>
        <w:t xml:space="preserve">OSFI E-23 for AI Systems</w:t>
      </w:r>
      <w:r>
        <w:t xml:space="preserve">. Every field below is set out in Chapter 6, with the two notes Chapter 13 adds for the engineer.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with a ledger row means the guideline states it, as the chapter cites it. "Five-Gate" means the deposited specification of the Five-Gate Deployment Model™ requires it, as Chapter 5 sets it out. "The discipline's" means the book's method chose it, not the guideline. The BOE Declaration is an engineering-family construct of the author's own specifications; its rule that every control carry one is that specification's rule for its own frameworks, not OSFI's (Chapter 6).</w:t>
      </w:r>
    </w:p>
    <w:bookmarkStart w:id="9" w:name="part-a.-the-declaration-for-one-control"/>
    <w:p>
      <w:pPr>
        <w:pStyle w:val="Heading2"/>
      </w:pPr>
      <w:r>
        <w:t xml:space="preserve">Part A. The declaration for one control</w:t>
      </w:r>
    </w:p>
    <w:p>
      <w:pPr>
        <w:pStyle w:val="FirstParagraph"/>
      </w:pPr>
      <w:r>
        <w:t xml:space="preserve">"Every control operated under any framework in this registry MUST carry a BOE Declaration: a statement of the Boundary it fixes, the Optimizer it frees, and the Evidence proving the boundary held." (Chapter 6, quoting the specification)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What it states (Chapter 6)</w:t>
            </w:r>
          </w:p>
        </w:tc>
        <w:tc>
          <w:tcPr/>
          <w:p>
            <w:pPr>
              <w:pStyle w:val="Compact"/>
            </w:pPr>
            <w:r>
              <w:t xml:space="preserve">Entry</w:t>
            </w:r>
          </w:p>
        </w:tc>
      </w:tr>
      <w:tr>
        <w:tc>
          <w:tcPr/>
          <w:p>
            <w:pPr>
              <w:pStyle w:val="Compact"/>
            </w:pPr>
            <w:r>
              <w:t xml:space="preserve">A1</w:t>
            </w:r>
          </w:p>
        </w:tc>
        <w:tc>
          <w:tcPr/>
          <w:p>
            <w:pPr>
              <w:pStyle w:val="Compact"/>
            </w:pPr>
            <w:r>
              <w:t xml:space="preserve">Control</w:t>
            </w:r>
          </w:p>
        </w:tc>
        <w:tc>
          <w:tcPr/>
          <w:p>
            <w:pPr>
              <w:pStyle w:val="Compact"/>
            </w:pPr>
            <w:r>
              <w:t xml:space="preserve">The control the declaration is written for</w:t>
            </w:r>
          </w:p>
        </w:tc>
        <w:tc>
          <w:tcPr/>
          <w:p>
            <w:pPr>
              <w:pStyle w:val="Compact"/>
            </w:pPr>
          </w:p>
        </w:tc>
      </w:tr>
      <w:tr>
        <w:tc>
          <w:tcPr/>
          <w:p>
            <w:pPr>
              <w:pStyle w:val="Compact"/>
            </w:pPr>
            <w:r>
              <w:t xml:space="preserve">A2</w:t>
            </w:r>
          </w:p>
        </w:tc>
        <w:tc>
          <w:tcPr/>
          <w:p>
            <w:pPr>
              <w:pStyle w:val="Compact"/>
            </w:pPr>
            <w:r>
              <w:t xml:space="preserve">Boundary</w:t>
            </w:r>
          </w:p>
        </w:tc>
        <w:tc>
          <w:tcPr/>
          <w:p>
            <w:pPr>
              <w:pStyle w:val="Compact"/>
            </w:pPr>
            <w:r>
              <w:t xml:space="preserve">The clause the control refuses to cross: the one thing that may not happen while the control is in force, in one clause. A control that cannot state its boundary in one clause has not yet decided what it forbids</w:t>
            </w:r>
          </w:p>
        </w:tc>
        <w:tc>
          <w:tcPr/>
          <w:p>
            <w:pPr>
              <w:pStyle w:val="Compact"/>
            </w:pPr>
          </w:p>
        </w:tc>
      </w:tr>
      <w:tr>
        <w:tc>
          <w:tcPr/>
          <w:p>
            <w:pPr>
              <w:pStyle w:val="Compact"/>
            </w:pPr>
            <w:r>
              <w:t xml:space="preserve">A3</w:t>
            </w:r>
          </w:p>
        </w:tc>
        <w:tc>
          <w:tcPr/>
          <w:p>
            <w:pPr>
              <w:pStyle w:val="Compact"/>
            </w:pPr>
            <w:r>
              <w:t xml:space="preserve">Optimizer</w:t>
            </w:r>
          </w:p>
        </w:tc>
        <w:tc>
          <w:tcPr/>
          <w:p>
            <w:pPr>
              <w:pStyle w:val="Compact"/>
            </w:pPr>
            <w:r>
              <w:t xml:space="preserve">What the control leaves free: which choices of model, method, threshold, prompt and infrastructure the control does not touch</w:t>
            </w:r>
          </w:p>
        </w:tc>
        <w:tc>
          <w:tcPr/>
          <w:p>
            <w:pPr>
              <w:pStyle w:val="Compact"/>
            </w:pPr>
          </w:p>
        </w:tc>
      </w:tr>
      <w:tr>
        <w:tc>
          <w:tcPr/>
          <w:p>
            <w:pPr>
              <w:pStyle w:val="Compact"/>
            </w:pPr>
            <w:r>
              <w:t xml:space="preserve">A4</w:t>
            </w:r>
          </w:p>
        </w:tc>
        <w:tc>
          <w:tcPr/>
          <w:p>
            <w:pPr>
              <w:pStyle w:val="Compact"/>
            </w:pPr>
            <w:r>
              <w:t xml:space="preserve">Evidence</w:t>
            </w:r>
          </w:p>
        </w:tc>
        <w:tc>
          <w:tcPr/>
          <w:p>
            <w:pPr>
              <w:pStyle w:val="Compact"/>
            </w:pPr>
            <w:r>
              <w:t xml:space="preserve">The artifact that would show the boundary held, named so that a reader could ask for it and either receive it or learn that it does not exist. Not the assurance that it held, and not the policy that says it should</w:t>
            </w:r>
          </w:p>
        </w:tc>
        <w:tc>
          <w:tcPr/>
          <w:p>
            <w:pPr>
              <w:pStyle w:val="Compact"/>
            </w:pPr>
          </w:p>
        </w:tc>
      </w:tr>
      <w:tr>
        <w:tc>
          <w:tcPr/>
          <w:p>
            <w:pPr>
              <w:pStyle w:val="Compact"/>
            </w:pPr>
            <w:r>
              <w:t xml:space="preserve">A5</w:t>
            </w:r>
          </w:p>
        </w:tc>
        <w:tc>
          <w:tcPr/>
          <w:p>
            <w:pPr>
              <w:pStyle w:val="Compact"/>
            </w:pPr>
            <w:r>
              <w:t xml:space="preserve">Does the artifact exist? (yes / no)</w:t>
            </w:r>
          </w:p>
        </w:tc>
        <w:tc>
          <w:tcPr/>
          <w:p>
            <w:pPr>
              <w:pStyle w:val="Compact"/>
            </w:pPr>
            <w:r>
              <w:t xml:space="preserve">Whether the artifact exists is a matter of fact. A declaration written for a control that produces no artifact is a correct declaration of a control that cannot be evidenced</w:t>
            </w:r>
          </w:p>
        </w:tc>
        <w:tc>
          <w:tcPr/>
          <w:p>
            <w:pPr>
              <w:pStyle w:val="Compact"/>
            </w:pPr>
          </w:p>
        </w:tc>
      </w:tr>
    </w:tbl>
    <w:p>
      <w:pPr>
        <w:pStyle w:val="BodyText"/>
      </w:pPr>
      <w:r>
        <w:rPr>
          <w:b/>
          <w:bCs/>
        </w:rPr>
        <w:t xml:space="preserve">The limit.</w:t>
      </w:r>
      <w:r>
        <w:t xml:space="preserve"> </w:t>
      </w:r>
      <w:r>
        <w:t xml:space="preserve">"A BOE Declaration is not a control, an assurance, or a claim that the boundary in fact held." It states which boundary a control fixes and which artifact would show that it held.</w:t>
      </w:r>
    </w:p>
    <w:p>
      <w:pPr>
        <w:pStyle w:val="BodyText"/>
      </w:pPr>
      <w:r>
        <w:rPr>
          <w:b/>
          <w:bCs/>
        </w:rPr>
        <w:t xml:space="preserve">For the engineer</w:t>
      </w:r>
      <w:r>
        <w:t xml:space="preserve"> </w:t>
      </w:r>
      <w:r>
        <w:t xml:space="preserve">(Chapter 13). Mark each declaration deterministic or statistical, because the two carry different evidence.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What it states (Chapter 13)</w:t>
            </w:r>
          </w:p>
        </w:tc>
        <w:tc>
          <w:tcPr/>
          <w:p>
            <w:pPr>
              <w:pStyle w:val="Compact"/>
            </w:pPr>
            <w:r>
              <w:t xml:space="preserve">Entry</w:t>
            </w:r>
          </w:p>
        </w:tc>
      </w:tr>
      <w:tr>
        <w:tc>
          <w:tcPr/>
          <w:p>
            <w:pPr>
              <w:pStyle w:val="Compact"/>
            </w:pPr>
            <w:r>
              <w:t xml:space="preserve">A6</w:t>
            </w:r>
          </w:p>
        </w:tc>
        <w:tc>
          <w:tcPr/>
          <w:p>
            <w:pPr>
              <w:pStyle w:val="Compact"/>
            </w:pPr>
            <w:r>
              <w:t xml:space="preserve">Kind: deterministic boundary or statistical guardrail</w:t>
            </w:r>
          </w:p>
        </w:tc>
        <w:tc>
          <w:tcPr/>
          <w:p>
            <w:pPr>
              <w:pStyle w:val="Compact"/>
            </w:pPr>
            <w:r>
              <w:t xml:space="preserve">A deterministic boundary refuses by construction; a statistical guardrail refuses by judgment and holds to a stated miss rate, never absolutely</w:t>
            </w:r>
          </w:p>
        </w:tc>
        <w:tc>
          <w:tcPr/>
          <w:p>
            <w:pPr>
              <w:pStyle w:val="Compact"/>
            </w:pPr>
          </w:p>
        </w:tc>
      </w:tr>
      <w:tr>
        <w:tc>
          <w:tcPr/>
          <w:p>
            <w:pPr>
              <w:pStyle w:val="Compact"/>
            </w:pPr>
            <w:r>
              <w:t xml:space="preserve">A7</w:t>
            </w:r>
          </w:p>
        </w:tc>
        <w:tc>
          <w:tcPr/>
          <w:p>
            <w:pPr>
              <w:pStyle w:val="Compact"/>
            </w:pPr>
            <w:r>
              <w:t xml:space="preserve">Evidence, if deterministic</w:t>
            </w:r>
          </w:p>
        </w:tc>
        <w:tc>
          <w:tcPr/>
          <w:p>
            <w:pPr>
              <w:pStyle w:val="Compact"/>
            </w:pPr>
            <w:r>
              <w:t xml:space="preserve">The configuration by version, a test that tries to cross it and fails, and the log of every refusal</w:t>
            </w:r>
          </w:p>
        </w:tc>
        <w:tc>
          <w:tcPr/>
          <w:p>
            <w:pPr>
              <w:pStyle w:val="Compact"/>
            </w:pPr>
          </w:p>
        </w:tc>
      </w:tr>
      <w:tr>
        <w:tc>
          <w:tcPr/>
          <w:p>
            <w:pPr>
              <w:pStyle w:val="Compact"/>
            </w:pPr>
            <w:r>
              <w:t xml:space="preserve">A8</w:t>
            </w:r>
          </w:p>
        </w:tc>
        <w:tc>
          <w:tcPr/>
          <w:p>
            <w:pPr>
              <w:pStyle w:val="Compact"/>
            </w:pPr>
            <w:r>
              <w:t xml:space="preserve">Evidence, if statistical</w:t>
            </w:r>
          </w:p>
        </w:tc>
        <w:tc>
          <w:tcPr/>
          <w:p>
            <w:pPr>
              <w:pStyle w:val="Compact"/>
            </w:pPr>
            <w:r>
              <w:t xml:space="preserve">The guardrail's version, and a judge model's own pinned version; a versioned test set containing the forbidden language; the miss rate on that set, with the interval its size supports; and the rate at which production responses are sampled and read by a person</w:t>
            </w:r>
          </w:p>
        </w:tc>
        <w:tc>
          <w:tcPr/>
          <w:p>
            <w:pPr>
              <w:pStyle w:val="Compact"/>
            </w:pPr>
          </w:p>
        </w:tc>
      </w:tr>
    </w:tbl>
    <w:bookmarkEnd w:id="9"/>
    <w:bookmarkStart w:id="10" w:name="Xf59e0d0db6ef7c7b1b73268aa796c0b9aef9340"/>
    <w:p>
      <w:pPr>
        <w:pStyle w:val="Heading2"/>
      </w:pPr>
      <w:r>
        <w:t xml:space="preserve">Part B. One record, rewritten in the declaration's shape</w:t>
      </w:r>
    </w:p>
    <w:p>
      <w:pPr>
        <w:pStyle w:val="FirstParagraph"/>
      </w:pPr>
      <w:r>
        <w:t xml:space="preserve">Take the approval record of one system, or, if no approval record exists as such, the minute or the email that stands where one should be. Fill each field from what exists. Where nothing exists, leave the field empty, and do not fill it with what the institution intends to do, because an intention is not an artifact and the shape is built to reject one (Chapter 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The record</w:t>
            </w:r>
          </w:p>
        </w:tc>
      </w:tr>
      <w:tr>
        <w:tc>
          <w:tcPr/>
          <w:p>
            <w:pPr>
              <w:pStyle w:val="Compact"/>
            </w:pPr>
            <w:r>
              <w:t xml:space="preserve">B1</w:t>
            </w:r>
          </w:p>
        </w:tc>
        <w:tc>
          <w:tcPr/>
          <w:p>
            <w:pPr>
              <w:pStyle w:val="Compact"/>
            </w:pPr>
            <w:r>
              <w:t xml:space="preserve">System and version</w:t>
            </w:r>
          </w:p>
        </w:tc>
        <w:tc>
          <w:tcPr/>
          <w:p>
            <w:pPr>
              <w:pStyle w:val="Compact"/>
            </w:pPr>
            <w:r>
              <w:t xml:space="preserve">Five-Gate record field (Chapter 5)</w:t>
            </w:r>
          </w:p>
        </w:tc>
        <w:tc>
          <w:tcPr/>
          <w:p>
            <w:pPr>
              <w:pStyle w:val="Compact"/>
            </w:pPr>
          </w:p>
        </w:tc>
      </w:tr>
      <w:tr>
        <w:tc>
          <w:tcPr/>
          <w:p>
            <w:pPr>
              <w:pStyle w:val="Compact"/>
            </w:pPr>
            <w:r>
              <w:t xml:space="preserve">B2</w:t>
            </w:r>
          </w:p>
        </w:tc>
        <w:tc>
          <w:tcPr/>
          <w:p>
            <w:pPr>
              <w:pStyle w:val="Compact"/>
            </w:pPr>
            <w:r>
              <w:t xml:space="preserve">Gate</w:t>
            </w:r>
          </w:p>
        </w:tc>
        <w:tc>
          <w:tcPr/>
          <w:p>
            <w:pPr>
              <w:pStyle w:val="Compact"/>
            </w:pPr>
            <w:r>
              <w:t xml:space="preserve">Five-Gate record field</w:t>
            </w:r>
          </w:p>
        </w:tc>
        <w:tc>
          <w:tcPr/>
          <w:p>
            <w:pPr>
              <w:pStyle w:val="Compact"/>
            </w:pPr>
          </w:p>
        </w:tc>
      </w:tr>
      <w:tr>
        <w:tc>
          <w:tcPr/>
          <w:p>
            <w:pPr>
              <w:pStyle w:val="Compact"/>
            </w:pPr>
            <w:r>
              <w:t xml:space="preserve">B3</w:t>
            </w:r>
          </w:p>
        </w:tc>
        <w:tc>
          <w:tcPr/>
          <w:p>
            <w:pPr>
              <w:pStyle w:val="Compact"/>
            </w:pPr>
            <w:r>
              <w:t xml:space="preserve">Decision</w:t>
            </w:r>
          </w:p>
        </w:tc>
        <w:tc>
          <w:tcPr/>
          <w:p>
            <w:pPr>
              <w:pStyle w:val="Compact"/>
            </w:pPr>
            <w:r>
              <w:t xml:space="preserve">Five-Gate record field</w:t>
            </w:r>
          </w:p>
        </w:tc>
        <w:tc>
          <w:tcPr/>
          <w:p>
            <w:pPr>
              <w:pStyle w:val="Compact"/>
            </w:pPr>
          </w:p>
        </w:tc>
      </w:tr>
      <w:tr>
        <w:tc>
          <w:tcPr/>
          <w:p>
            <w:pPr>
              <w:pStyle w:val="Compact"/>
            </w:pPr>
            <w:r>
              <w:t xml:space="preserve">B4</w:t>
            </w:r>
          </w:p>
        </w:tc>
        <w:tc>
          <w:tcPr/>
          <w:p>
            <w:pPr>
              <w:pStyle w:val="Compact"/>
            </w:pPr>
            <w:r>
              <w:t xml:space="preserve">Boundary fixed</w:t>
            </w:r>
          </w:p>
        </w:tc>
        <w:tc>
          <w:tcPr/>
          <w:p>
            <w:pPr>
              <w:pStyle w:val="Compact"/>
            </w:pPr>
            <w:r>
              <w:t xml:space="preserve">The declaration (Chapter 6)</w:t>
            </w:r>
          </w:p>
        </w:tc>
        <w:tc>
          <w:tcPr/>
          <w:p>
            <w:pPr>
              <w:pStyle w:val="Compact"/>
            </w:pPr>
          </w:p>
        </w:tc>
      </w:tr>
      <w:tr>
        <w:tc>
          <w:tcPr/>
          <w:p>
            <w:pPr>
              <w:pStyle w:val="Compact"/>
            </w:pPr>
            <w:r>
              <w:t xml:space="preserve">B5</w:t>
            </w:r>
          </w:p>
        </w:tc>
        <w:tc>
          <w:tcPr/>
          <w:p>
            <w:pPr>
              <w:pStyle w:val="Compact"/>
            </w:pPr>
            <w:r>
              <w:t xml:space="preserve">Optimizer freed</w:t>
            </w:r>
          </w:p>
        </w:tc>
        <w:tc>
          <w:tcPr/>
          <w:p>
            <w:pPr>
              <w:pStyle w:val="Compact"/>
            </w:pPr>
            <w:r>
              <w:t xml:space="preserve">The declaration (Chapter 6)</w:t>
            </w:r>
          </w:p>
        </w:tc>
        <w:tc>
          <w:tcPr/>
          <w:p>
            <w:pPr>
              <w:pStyle w:val="Compact"/>
            </w:pPr>
          </w:p>
        </w:tc>
      </w:tr>
      <w:tr>
        <w:tc>
          <w:tcPr/>
          <w:p>
            <w:pPr>
              <w:pStyle w:val="Compact"/>
            </w:pPr>
            <w:r>
              <w:t xml:space="preserve">B6</w:t>
            </w:r>
          </w:p>
        </w:tc>
        <w:tc>
          <w:tcPr/>
          <w:p>
            <w:pPr>
              <w:pStyle w:val="Compact"/>
            </w:pPr>
            <w:r>
              <w:t xml:space="preserve">Evidence relied on, by identifier</w:t>
            </w:r>
          </w:p>
        </w:tc>
        <w:tc>
          <w:tcPr/>
          <w:p>
            <w:pPr>
              <w:pStyle w:val="Compact"/>
            </w:pPr>
            <w:r>
              <w:t xml:space="preserve">The declaration; E-23 asks that the review be documented and reported with an overall recommendation on approval to the model approver</w:t>
            </w:r>
          </w:p>
        </w:tc>
        <w:tc>
          <w:tcPr/>
          <w:p>
            <w:pPr>
              <w:pStyle w:val="Compact"/>
            </w:pPr>
          </w:p>
        </w:tc>
      </w:tr>
      <w:tr>
        <w:tc>
          <w:tcPr/>
          <w:p>
            <w:pPr>
              <w:pStyle w:val="Compact"/>
            </w:pPr>
            <w:r>
              <w:t xml:space="preserve">B7</w:t>
            </w:r>
          </w:p>
        </w:tc>
        <w:tc>
          <w:tcPr/>
          <w:p>
            <w:pPr>
              <w:pStyle w:val="Compact"/>
            </w:pPr>
            <w:r>
              <w:t xml:space="preserve">Approved use</w:t>
            </w:r>
          </w:p>
        </w:tc>
        <w:tc>
          <w:tcPr/>
          <w:p>
            <w:pPr>
              <w:pStyle w:val="Compact"/>
            </w:pPr>
            <w:r>
              <w:t xml:space="preserve">Five-Gate; E-23: the inventory carries approved uses</w:t>
            </w:r>
          </w:p>
        </w:tc>
        <w:tc>
          <w:tcPr/>
          <w:p>
            <w:pPr>
              <w:pStyle w:val="Compact"/>
            </w:pPr>
          </w:p>
        </w:tc>
      </w:tr>
      <w:tr>
        <w:tc>
          <w:tcPr/>
          <w:p>
            <w:pPr>
              <w:pStyle w:val="Compact"/>
            </w:pPr>
            <w:r>
              <w:t xml:space="preserve">B8</w:t>
            </w:r>
          </w:p>
        </w:tc>
        <w:tc>
          <w:tcPr/>
          <w:p>
            <w:pPr>
              <w:pStyle w:val="Compact"/>
            </w:pPr>
            <w:r>
              <w:t xml:space="preserve">Accountable person</w:t>
            </w:r>
          </w:p>
        </w:tc>
        <w:tc>
          <w:tcPr/>
          <w:p>
            <w:pPr>
              <w:pStyle w:val="Compact"/>
            </w:pPr>
            <w:r>
              <w:t xml:space="preserve">The discipline's: one named person, a narrower choice inside E-23, which allows the Model Approver to be a unit, an individual or a committee</w:t>
            </w:r>
          </w:p>
        </w:tc>
        <w:tc>
          <w:tcPr/>
          <w:p>
            <w:pPr>
              <w:pStyle w:val="Compact"/>
            </w:pPr>
          </w:p>
        </w:tc>
      </w:tr>
      <w:tr>
        <w:tc>
          <w:tcPr/>
          <w:p>
            <w:pPr>
              <w:pStyle w:val="Compact"/>
            </w:pPr>
            <w:r>
              <w:t xml:space="preserve">B9</w:t>
            </w:r>
          </w:p>
        </w:tc>
        <w:tc>
          <w:tcPr/>
          <w:p>
            <w:pPr>
              <w:pStyle w:val="Compact"/>
            </w:pPr>
            <w:r>
              <w:t xml:space="preserve">Conditions, each with a date and an owner</w:t>
            </w:r>
          </w:p>
        </w:tc>
        <w:tc>
          <w:tcPr/>
          <w:p>
            <w:pPr>
              <w:pStyle w:val="Compact"/>
            </w:pPr>
            <w:r>
              <w:t xml:space="preserve">Five-Gate (Chapter 5)</w:t>
            </w:r>
          </w:p>
        </w:tc>
        <w:tc>
          <w:tcPr/>
          <w:p>
            <w:pPr>
              <w:pStyle w:val="Compact"/>
            </w:pPr>
          </w:p>
        </w:tc>
      </w:tr>
      <w:tr>
        <w:tc>
          <w:tcPr/>
          <w:p>
            <w:pPr>
              <w:pStyle w:val="Compact"/>
            </w:pPr>
            <w:r>
              <w:t xml:space="preserve">B10</w:t>
            </w:r>
          </w:p>
        </w:tc>
        <w:tc>
          <w:tcPr/>
          <w:p>
            <w:pPr>
              <w:pStyle w:val="Compact"/>
            </w:pPr>
            <w:r>
              <w:t xml:space="preserve">Expiry or revalidation trigger</w:t>
            </w:r>
          </w:p>
        </w:tc>
        <w:tc>
          <w:tcPr/>
          <w:p>
            <w:pPr>
              <w:pStyle w:val="Compact"/>
            </w:pPr>
            <w:r>
              <w:t xml:space="preserve">Five-Gate (Chapter 5)</w:t>
            </w:r>
          </w:p>
        </w:tc>
        <w:tc>
          <w:tcPr/>
          <w:p>
            <w:pPr>
              <w:pStyle w:val="Compact"/>
            </w:pPr>
          </w:p>
        </w:tc>
      </w:tr>
      <w:tr>
        <w:tc>
          <w:tcPr/>
          <w:p>
            <w:pPr>
              <w:pStyle w:val="Compact"/>
            </w:pPr>
            <w:r>
              <w:t xml:space="preserve">B11</w:t>
            </w:r>
          </w:p>
        </w:tc>
        <w:tc>
          <w:tcPr/>
          <w:p>
            <w:pPr>
              <w:pStyle w:val="Compact"/>
            </w:pPr>
            <w:r>
              <w:t xml:space="preserve">Policy version in force</w:t>
            </w:r>
          </w:p>
        </w:tc>
        <w:tc>
          <w:tcPr/>
          <w:p>
            <w:pPr>
              <w:pStyle w:val="Compact"/>
            </w:pPr>
            <w:r>
              <w:t xml:space="preserve">Five-Gate (Chapter 5)</w:t>
            </w:r>
          </w:p>
        </w:tc>
        <w:tc>
          <w:tcPr/>
          <w:p>
            <w:pPr>
              <w:pStyle w:val="Compact"/>
            </w:pPr>
          </w:p>
        </w:tc>
      </w:tr>
      <w:tr>
        <w:tc>
          <w:tcPr/>
          <w:p>
            <w:pPr>
              <w:pStyle w:val="Compact"/>
            </w:pPr>
            <w:r>
              <w:t xml:space="preserve">B12</w:t>
            </w:r>
          </w:p>
        </w:tc>
        <w:tc>
          <w:tcPr/>
          <w:p>
            <w:pPr>
              <w:pStyle w:val="Compact"/>
            </w:pPr>
            <w:r>
              <w:t xml:space="preserve">Date and time</w:t>
            </w:r>
          </w:p>
        </w:tc>
        <w:tc>
          <w:tcPr/>
          <w:p>
            <w:pPr>
              <w:pStyle w:val="Compact"/>
            </w:pPr>
            <w:r>
              <w:t xml:space="preserve">Five-Gate (Chapter 5)</w:t>
            </w:r>
          </w:p>
        </w:tc>
        <w:tc>
          <w:tcPr/>
          <w:p>
            <w:pPr>
              <w:pStyle w:val="Compact"/>
            </w:pPr>
          </w:p>
        </w:tc>
      </w:tr>
    </w:tbl>
    <w:p>
      <w:pPr>
        <w:pStyle w:val="BodyText"/>
      </w:pPr>
      <w:r>
        <w:t xml:space="preserve">For a gate other than G3, Chapter 6 reads the five gates' boundaries, optimizers and evidence as the gate record template sets them out (nabeelkhan.com/e-23/gate-record, Part 2).</w:t>
      </w:r>
    </w:p>
    <w:bookmarkEnd w:id="10"/>
    <w:bookmarkStart w:id="11" w:name="part-c.-the-three-questions"/>
    <w:p>
      <w:pPr>
        <w:pStyle w:val="Heading2"/>
      </w:pPr>
      <w:r>
        <w:t xml:space="preserve">Part C. The three questions</w:t>
      </w:r>
    </w:p>
    <w:p>
      <w:pPr>
        <w:pStyle w:val="FirstParagraph"/>
      </w:pPr>
      <w:r>
        <w:t xml:space="preserve">Put the three questions to the record and count how many places it sends you (Chapter 6, the test). A record in the declaration's shape answers all three from one page.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Where the answer sits in the record</w:t>
            </w:r>
          </w:p>
        </w:tc>
        <w:tc>
          <w:tcPr/>
          <w:p>
            <w:pPr>
              <w:pStyle w:val="Compact"/>
            </w:pPr>
            <w:r>
              <w:t xml:space="preserve">Answered from this page (yes / no)</w:t>
            </w:r>
          </w:p>
        </w:tc>
        <w:tc>
          <w:tcPr/>
          <w:p>
            <w:pPr>
              <w:pStyle w:val="Compact"/>
            </w:pPr>
            <w:r>
              <w:t xml:space="preserve">Places it sends you</w:t>
            </w:r>
          </w:p>
        </w:tc>
      </w:tr>
      <w:tr>
        <w:tc>
          <w:tcPr/>
          <w:p>
            <w:pPr>
              <w:pStyle w:val="Compact"/>
            </w:pPr>
            <w:r>
              <w:t xml:space="preserve">C1</w:t>
            </w:r>
          </w:p>
        </w:tc>
        <w:tc>
          <w:tcPr/>
          <w:p>
            <w:pPr>
              <w:pStyle w:val="Compact"/>
            </w:pPr>
            <w:r>
              <w:t xml:space="preserve">Who approved?</w:t>
            </w:r>
          </w:p>
        </w:tc>
        <w:tc>
          <w:tcPr/>
          <w:p>
            <w:pPr>
              <w:pStyle w:val="Compact"/>
            </w:pPr>
            <w:r>
              <w:t xml:space="preserve">The name in the record (B8)</w:t>
            </w:r>
          </w:p>
        </w:tc>
        <w:tc>
          <w:tcPr/>
          <w:p>
            <w:pPr>
              <w:pStyle w:val="Compact"/>
            </w:pPr>
          </w:p>
        </w:tc>
        <w:tc>
          <w:tcPr/>
          <w:p>
            <w:pPr>
              <w:pStyle w:val="Compact"/>
            </w:pPr>
          </w:p>
        </w:tc>
      </w:tr>
      <w:tr>
        <w:tc>
          <w:tcPr/>
          <w:p>
            <w:pPr>
              <w:pStyle w:val="Compact"/>
            </w:pPr>
            <w:r>
              <w:t xml:space="preserve">C2</w:t>
            </w:r>
          </w:p>
        </w:tc>
        <w:tc>
          <w:tcPr/>
          <w:p>
            <w:pPr>
              <w:pStyle w:val="Compact"/>
            </w:pPr>
            <w:r>
              <w:t xml:space="preserve">On what evidence?</w:t>
            </w:r>
          </w:p>
        </w:tc>
        <w:tc>
          <w:tcPr/>
          <w:p>
            <w:pPr>
              <w:pStyle w:val="Compact"/>
            </w:pPr>
            <w:r>
              <w:t xml:space="preserve">The artifact, cited by identifier (B6)</w:t>
            </w:r>
          </w:p>
        </w:tc>
        <w:tc>
          <w:tcPr/>
          <w:p>
            <w:pPr>
              <w:pStyle w:val="Compact"/>
            </w:pPr>
          </w:p>
        </w:tc>
        <w:tc>
          <w:tcPr/>
          <w:p>
            <w:pPr>
              <w:pStyle w:val="Compact"/>
            </w:pPr>
          </w:p>
        </w:tc>
      </w:tr>
      <w:tr>
        <w:tc>
          <w:tcPr/>
          <w:p>
            <w:pPr>
              <w:pStyle w:val="Compact"/>
            </w:pPr>
            <w:r>
              <w:t xml:space="preserve">C3</w:t>
            </w:r>
          </w:p>
        </w:tc>
        <w:tc>
          <w:tcPr/>
          <w:p>
            <w:pPr>
              <w:pStyle w:val="Compact"/>
            </w:pPr>
            <w:r>
              <w:t xml:space="preserve">What record exists now?</w:t>
            </w:r>
          </w:p>
        </w:tc>
        <w:tc>
          <w:tcPr/>
          <w:p>
            <w:pPr>
              <w:pStyle w:val="Compact"/>
            </w:pPr>
            <w:r>
              <w:t xml:space="preserve">The record itself, with its policy version and its date (B11, B12)</w:t>
            </w:r>
          </w:p>
        </w:tc>
        <w:tc>
          <w:tcPr/>
          <w:p>
            <w:pPr>
              <w:pStyle w:val="Compact"/>
            </w:pPr>
          </w:p>
        </w:tc>
        <w:tc>
          <w:tcPr/>
          <w:p>
            <w:pPr>
              <w:pStyle w:val="Compact"/>
            </w:pPr>
          </w:p>
        </w:tc>
      </w:tr>
    </w:tbl>
    <w:bookmarkEnd w:id="11"/>
    <w:bookmarkStart w:id="12" w:name="X4fe5196ddc9a762ff52b03909b852b87ac36a56"/>
    <w:p>
      <w:pPr>
        <w:pStyle w:val="Heading2"/>
      </w:pPr>
      <w:r>
        <w:t xml:space="preserve">Part D. Empty fields, carried to the gap plan</w:t>
      </w:r>
    </w:p>
    <w:p>
      <w:pPr>
        <w:pStyle w:val="FirstParagraph"/>
      </w:pPr>
      <w:r>
        <w:t xml:space="preserve">The empty fields are the first entries in the gap plan of Chapter 11, each naming a specific artifact, the gate that requires it, and the person who will have to produce it (Chapter 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Empty field</w:t>
            </w:r>
          </w:p>
        </w:tc>
        <w:tc>
          <w:tcPr/>
          <w:p>
            <w:pPr>
              <w:pStyle w:val="Compact"/>
            </w:pPr>
            <w:r>
              <w:t xml:space="preserve">The artifact it names</w:t>
            </w:r>
          </w:p>
        </w:tc>
        <w:tc>
          <w:tcPr/>
          <w:p>
            <w:pPr>
              <w:pStyle w:val="Compact"/>
            </w:pPr>
            <w:r>
              <w:t xml:space="preserve">The gate that requires it</w:t>
            </w:r>
          </w:p>
        </w:tc>
        <w:tc>
          <w:tcPr/>
          <w:p>
            <w:pPr>
              <w:pStyle w:val="Compact"/>
            </w:pPr>
            <w:r>
              <w:t xml:space="preserve">The person who will have to produce it</w:t>
            </w:r>
          </w:p>
        </w:tc>
      </w:tr>
      <w:tr>
        <w:tc>
          <w:tcPr/>
          <w:p>
            <w:pPr>
              <w:pStyle w:val="Compact"/>
            </w:pPr>
            <w:r>
              <w:t xml:space="preserve">D1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D2</w:t>
            </w:r>
          </w:p>
        </w:tc>
        <w:tc>
          <w:tcPr/>
          <w:p>
            <w:pPr>
              <w:pStyle w:val="Compact"/>
            </w:pPr>
          </w:p>
        </w:tc>
        <w:tc>
          <w:tcPr/>
          <w:p>
            <w:pPr>
              <w:pStyle w:val="Compact"/>
            </w:pPr>
          </w:p>
        </w:tc>
        <w:tc>
          <w:tcPr/>
          <w:p>
            <w:pPr>
              <w:pStyle w:val="Compact"/>
            </w:pPr>
          </w:p>
        </w:tc>
        <w:tc>
          <w:tcPr/>
          <w:p>
            <w:pPr>
              <w:pStyle w:val="Compact"/>
            </w:pPr>
          </w:p>
        </w:tc>
      </w:tr>
    </w:tbl>
    <w:bookmarkEnd w:id="12"/>
    <w:bookmarkStart w:id="13" w:name="Xf08b1d5eccd34b721fe9751395a2cc5d5454102"/>
    <w:p>
      <w:pPr>
        <w:pStyle w:val="Heading2"/>
      </w:pPr>
      <w:r>
        <w:t xml:space="preserve">The claim, the test, the artifact (Chapter 6)</w:t>
      </w:r>
    </w:p>
    <w:p>
      <w:pPr>
        <w:pStyle w:val="FirstParagraph"/>
      </w:pPr>
      <w:r>
        <w:rPr>
          <w:b/>
          <w:bCs/>
        </w:rPr>
        <w:t xml:space="preserve">The claim.</w:t>
      </w:r>
      <w:r>
        <w:t xml:space="preserve"> </w:t>
      </w:r>
      <w:r>
        <w:t xml:space="preserve">Records written in one shape join; records in different shapes lie side by side and answer nothing, however many are kept.</w:t>
      </w:r>
    </w:p>
    <w:p>
      <w:pPr>
        <w:pStyle w:val="BodyText"/>
      </w:pPr>
      <w:r>
        <w:rPr>
          <w:b/>
          <w:bCs/>
        </w:rPr>
        <w:t xml:space="preserve">The test.</w:t>
      </w:r>
      <w:r>
        <w:t xml:space="preserve"> </w:t>
      </w:r>
      <w:r>
        <w:t xml:space="preserve">Put the three questions to one approval record and count how many places it sends you.</w:t>
      </w:r>
    </w:p>
    <w:p>
      <w:pPr>
        <w:pStyle w:val="BodyText"/>
      </w:pPr>
      <w:r>
        <w:rPr>
          <w:b/>
          <w:bCs/>
        </w:rPr>
        <w:t xml:space="preserve">The artifact.</w:t>
      </w:r>
      <w:r>
        <w:t xml:space="preserve"> </w:t>
      </w:r>
      <w:r>
        <w:t xml:space="preserve">That record, rewritten as a BOE Declaration, its empty fields left empty.</w:t>
      </w:r>
    </w:p>
    <w:p>
      <w:r>
        <w:pict>
          <v:rect style="width:0;height:1.5pt" o:hralign="center" o:hrstd="t" o:hr="t"/>
        </w:pict>
      </w:r>
    </w:p>
    <w:bookmarkEnd w:id="13"/>
    <w:bookmarkEnd w:id="14"/>
    <w:bookmarkStart w:id="19" w:name="Xa931503940c5b91988364352d7de4afe89b3836"/>
    <w:p>
      <w:pPr>
        <w:pStyle w:val="Heading1"/>
      </w:pPr>
      <w:r>
        <w:t xml:space="preserve">Worked example: Coldbrook, Ask Coldbrook, the G3 record</w:t>
      </w:r>
    </w:p>
    <w:p>
      <w:pPr>
        <w:pStyle w:val="FirstParagraph"/>
      </w:pPr>
      <w:r>
        <w:rPr>
          <w:b/>
          <w:bCs/>
        </w:rPr>
        <w:t xml:space="preserve">Coldbrook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Coldbrook; where the book does not give a value, the field says so.</w:t>
      </w:r>
    </w:p>
    <w:bookmarkStart w:id="15" w:name="coldbrook-before"/>
    <w:p>
      <w:pPr>
        <w:pStyle w:val="Heading2"/>
      </w:pPr>
      <w:r>
        <w:t xml:space="preserve">Coldbrook, before</w:t>
      </w:r>
    </w:p>
    <w:p>
      <w:pPr>
        <w:pStyle w:val="FirstParagraph"/>
      </w:pPr>
      <w:r>
        <w:t xml:space="preserve">The approval of Ask Coldbrook is a record dated 12 June 2025, and it says that the Digital Channels Steering Committee, eleven members, approved the assistant, with no single signatory. The evidence before the committee was the May 2025 validation. Monitoring would cover latency, containment rate and customer satisfaction; logging would keep transcripts ninety days and retrieved document identifiers seven, with the prompt template version and no model version; the model was the provider's current default, unpinned.</w:t>
      </w:r>
    </w:p>
    <w:p>
      <w:pPr>
        <w:pStyle w:val="BodyText"/>
      </w:pPr>
      <w:r>
        <w:t xml:space="preserve">Put to that record, the three questions were answered as follows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What the June 2025 record could answer</w:t>
            </w:r>
          </w:p>
        </w:tc>
      </w:tr>
      <w:tr>
        <w:tc>
          <w:tcPr/>
          <w:p>
            <w:pPr>
              <w:pStyle w:val="Compact"/>
            </w:pPr>
            <w:r>
              <w:t xml:space="preserve">Who approved the assistant?</w:t>
            </w:r>
          </w:p>
        </w:tc>
        <w:tc>
          <w:tcPr/>
          <w:p>
            <w:pPr>
              <w:pStyle w:val="Compact"/>
            </w:pPr>
            <w:r>
              <w:t xml:space="preserve">A committee of eleven</w:t>
            </w:r>
          </w:p>
        </w:tc>
      </w:tr>
      <w:tr>
        <w:tc>
          <w:tcPr/>
          <w:p>
            <w:pPr>
              <w:pStyle w:val="Compact"/>
            </w:pPr>
            <w:r>
              <w:t xml:space="preserve">On what evidence?</w:t>
            </w:r>
          </w:p>
        </w:tc>
        <w:tc>
          <w:tcPr/>
          <w:p>
            <w:pPr>
              <w:pStyle w:val="Compact"/>
            </w:pPr>
            <w:r>
              <w:t xml:space="preserve">A test that proved the system answered 240 prompts acceptably on one day in May, against an index and a model version that were not written down</w:t>
            </w:r>
          </w:p>
        </w:tc>
      </w:tr>
      <w:tr>
        <w:tc>
          <w:tcPr/>
          <w:p>
            <w:pPr>
              <w:pStyle w:val="Compact"/>
            </w:pPr>
            <w:r>
              <w:t xml:space="preserve">What record exists now?</w:t>
            </w:r>
          </w:p>
        </w:tc>
        <w:tc>
          <w:tcPr/>
          <w:p>
            <w:pPr>
              <w:pStyle w:val="Compact"/>
            </w:pPr>
            <w:r>
              <w:t xml:space="preserve">For the conversation of 14 October, a transcript and a prompt template version, with no retrieved document identifiers and no model version</w:t>
            </w:r>
          </w:p>
        </w:tc>
      </w:tr>
    </w:tbl>
    <w:p>
      <w:pPr>
        <w:pStyle w:val="BodyText"/>
      </w:pPr>
      <w:r>
        <w:t xml:space="preserve">Nothing in the June record was false. It was written in the shape of a minute.</w:t>
      </w:r>
    </w:p>
    <w:bookmarkEnd w:id="15"/>
    <w:bookmarkStart w:id="16" w:name="coldbrook-after"/>
    <w:p>
      <w:pPr>
        <w:pStyle w:val="Heading2"/>
      </w:pPr>
      <w:r>
        <w:t xml:space="preserve">Coldbrook, after</w:t>
      </w:r>
    </w:p>
    <w:p>
      <w:pPr>
        <w:pStyle w:val="FirstParagraph"/>
      </w:pPr>
      <w:r>
        <w:t xml:space="preserve">The same approval as a G3 record in the declaration's shape, every field filled from what existed in June 2025 and left empty where nothing did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The record</w:t>
            </w:r>
          </w:p>
        </w:tc>
      </w:tr>
      <w:tr>
        <w:tc>
          <w:tcPr/>
          <w:p>
            <w:pPr>
              <w:pStyle w:val="Compact"/>
            </w:pPr>
            <w:r>
              <w:t xml:space="preserve">System and version</w:t>
            </w:r>
          </w:p>
        </w:tc>
        <w:tc>
          <w:tcPr/>
          <w:p>
            <w:pPr>
              <w:pStyle w:val="Compact"/>
            </w:pPr>
            <w:r>
              <w:t xml:space="preserve">Ask Coldbrook; prompt template version as logged; model: the provider's current default, unpinned. The version field cannot be completed, and that is the first finding</w:t>
            </w:r>
          </w:p>
        </w:tc>
      </w:tr>
      <w:tr>
        <w:tc>
          <w:tcPr/>
          <w:p>
            <w:pPr>
              <w:pStyle w:val="Compact"/>
            </w:pPr>
            <w:r>
              <w:t xml:space="preserve">Gate</w:t>
            </w:r>
          </w:p>
        </w:tc>
        <w:tc>
          <w:tcPr/>
          <w:p>
            <w:pPr>
              <w:pStyle w:val="Compact"/>
            </w:pPr>
            <w:r>
              <w:t xml:space="preserve">G3 Approval</w:t>
            </w:r>
          </w:p>
        </w:tc>
      </w:tr>
      <w:tr>
        <w:tc>
          <w:tcPr/>
          <w:p>
            <w:pPr>
              <w:pStyle w:val="Compact"/>
            </w:pPr>
            <w:r>
              <w:t xml:space="preserve">Decision</w:t>
            </w:r>
          </w:p>
        </w:tc>
        <w:tc>
          <w:tcPr/>
          <w:p>
            <w:pPr>
              <w:pStyle w:val="Compact"/>
            </w:pPr>
            <w:r>
              <w:t xml:space="preserve">Approved, by the Digital Channels Steering Committee</w:t>
            </w:r>
          </w:p>
        </w:tc>
      </w:tr>
      <w:tr>
        <w:tc>
          <w:tcPr/>
          <w:p>
            <w:pPr>
              <w:pStyle w:val="Compact"/>
            </w:pPr>
            <w:r>
              <w:t xml:space="preserve">Boundary fixed</w:t>
            </w:r>
          </w:p>
        </w:tc>
        <w:tc>
          <w:tcPr/>
          <w:p>
            <w:pPr>
              <w:pStyle w:val="Compact"/>
            </w:pPr>
            <w:r>
              <w:t xml:space="preserve">A system nobody is answerable for may not enter production</w:t>
            </w:r>
          </w:p>
        </w:tc>
      </w:tr>
      <w:tr>
        <w:tc>
          <w:tcPr/>
          <w:p>
            <w:pPr>
              <w:pStyle w:val="Compact"/>
            </w:pPr>
            <w:r>
              <w:t xml:space="preserve">Optimizer freed</w:t>
            </w:r>
          </w:p>
        </w:tc>
        <w:tc>
          <w:tcPr/>
          <w:p>
            <w:pPr>
              <w:pStyle w:val="Compact"/>
            </w:pPr>
            <w:r>
              <w:t xml:space="preserve">Which customer-facing systems the bank chooses to run; inside the approval, the team's freedom over tone, prompt, retrieval ranking and containment</w:t>
            </w:r>
          </w:p>
        </w:tc>
      </w:tr>
      <w:tr>
        <w:tc>
          <w:tcPr/>
          <w:p>
            <w:pPr>
              <w:pStyle w:val="Compact"/>
            </w:pPr>
            <w:r>
              <w:t xml:space="preserve">Evidence relied on</w:t>
            </w:r>
          </w:p>
        </w:tc>
        <w:tc>
          <w:tcPr/>
          <w:p>
            <w:pPr>
              <w:pStyle w:val="Compact"/>
            </w:pPr>
            <w:r>
              <w:t xml:space="preserve">The May 2025 validation, by identifier: a model card review and a 240-prompt test set for tone, refusal and product accuracy, examined against one model version and one index on one day</w:t>
            </w:r>
          </w:p>
        </w:tc>
      </w:tr>
      <w:tr>
        <w:tc>
          <w:tcPr/>
          <w:p>
            <w:pPr>
              <w:pStyle w:val="Compact"/>
            </w:pPr>
            <w:r>
              <w:t xml:space="preserve">Approved use</w:t>
            </w:r>
          </w:p>
        </w:tc>
        <w:tc>
          <w:tcPr/>
          <w:p>
            <w:pPr>
              <w:pStyle w:val="Compact"/>
            </w:pPr>
            <w:r>
              <w:t xml:space="preserve">Product, servicing and account questions, on the envelope the validation examined, and no wider</w:t>
            </w:r>
          </w:p>
        </w:tc>
      </w:tr>
      <w:tr>
        <w:tc>
          <w:tcPr/>
          <w:p>
            <w:pPr>
              <w:pStyle w:val="Compact"/>
            </w:pPr>
            <w:r>
              <w:t xml:space="preserve">Accountable person</w:t>
            </w:r>
          </w:p>
        </w:tc>
        <w:tc>
          <w:tcPr/>
          <w:p>
            <w:pPr>
              <w:pStyle w:val="Compact"/>
            </w:pPr>
            <w:r>
              <w:t xml:space="preserve">Empty. Eleven members, no single signatory. The record cannot be completed, and that is the second finding</w:t>
            </w:r>
          </w:p>
        </w:tc>
      </w:tr>
      <w:tr>
        <w:tc>
          <w:tcPr/>
          <w:p>
            <w:pPr>
              <w:pStyle w:val="Compact"/>
            </w:pPr>
            <w:r>
              <w:t xml:space="preserve">Conditions</w:t>
            </w:r>
          </w:p>
        </w:tc>
        <w:tc>
          <w:tcPr/>
          <w:p>
            <w:pPr>
              <w:pStyle w:val="Compact"/>
            </w:pPr>
            <w:r>
              <w:t xml:space="preserve">Retrieval index unclassified for what may be spoken to a customer; model version not logged; commitment language not monitored. Each would need a date and an owner. None had either</w:t>
            </w:r>
          </w:p>
        </w:tc>
      </w:tr>
      <w:tr>
        <w:tc>
          <w:tcPr/>
          <w:p>
            <w:pPr>
              <w:pStyle w:val="Compact"/>
            </w:pPr>
            <w:r>
              <w:t xml:space="preserve">Expiry or revalidation trigger</w:t>
            </w:r>
          </w:p>
        </w:tc>
        <w:tc>
          <w:tcPr/>
          <w:p>
            <w:pPr>
              <w:pStyle w:val="Compact"/>
            </w:pPr>
            <w:r>
              <w:t xml:space="preserve">Empty. A provider model version change and an addition to the retrieval index are the two triggers the record would need to name. Neither was named</w:t>
            </w:r>
          </w:p>
        </w:tc>
      </w:tr>
      <w:tr>
        <w:tc>
          <w:tcPr/>
          <w:p>
            <w:pPr>
              <w:pStyle w:val="Compact"/>
            </w:pPr>
            <w:r>
              <w:t xml:space="preserve">Policy version in force</w:t>
            </w:r>
          </w:p>
        </w:tc>
        <w:tc>
          <w:tcPr/>
          <w:p>
            <w:pPr>
              <w:pStyle w:val="Compact"/>
            </w:pPr>
            <w:r>
              <w:t xml:space="preserve">Nothing in the case record shows one</w:t>
            </w:r>
          </w:p>
        </w:tc>
      </w:tr>
      <w:tr>
        <w:tc>
          <w:tcPr/>
          <w:p>
            <w:pPr>
              <w:pStyle w:val="Compact"/>
            </w:pPr>
            <w:r>
              <w:t xml:space="preserve">Date and time</w:t>
            </w:r>
          </w:p>
        </w:tc>
        <w:tc>
          <w:tcPr/>
          <w:p>
            <w:pPr>
              <w:pStyle w:val="Compact"/>
            </w:pPr>
            <w:r>
              <w:t xml:space="preserve">12 June 2025; no time in the case record</w:t>
            </w:r>
          </w:p>
        </w:tc>
      </w:tr>
    </w:tbl>
    <w:p>
      <w:pPr>
        <w:pStyle w:val="BodyText"/>
      </w:pPr>
      <w:r>
        <w:t xml:space="preserve">The rewritten record is mostly empty, which is the point. Written in this shape in June, it would have refused to be completed, and the refusal would have been the gate working. Every empty field names something that turned out, on 14 October 2025, to be the thing that mattered: the version that changed on 3 October, the index that grew on 9 September, the commitment language nothing watched, and the person nobody had named. A minute has no empty fields, because a minute records events rather than requirements. So a minute cannot refuse (Chapter 6).</w:t>
      </w:r>
    </w:p>
    <w:bookmarkEnd w:id="16"/>
    <w:bookmarkStart w:id="17" w:name="Xa28e37d6955a3c3fcbda09360f0c58954995f41"/>
    <w:p>
      <w:pPr>
        <w:pStyle w:val="Heading2"/>
      </w:pPr>
      <w:r>
        <w:t xml:space="preserve">The three questions, asked of the rewritten record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The rewritten record's answer (Chapter 6)</w:t>
            </w:r>
          </w:p>
        </w:tc>
      </w:tr>
      <w:tr>
        <w:tc>
          <w:tcPr/>
          <w:p>
            <w:pPr>
              <w:pStyle w:val="Compact"/>
            </w:pPr>
            <w:r>
              <w:t xml:space="preserve">Who approved?</w:t>
            </w:r>
          </w:p>
        </w:tc>
        <w:tc>
          <w:tcPr/>
          <w:p>
            <w:pPr>
              <w:pStyle w:val="Compact"/>
            </w:pPr>
            <w:r>
              <w:t xml:space="preserve">The record says that no one did, in the sense the question means, and it says so in June rather than in November</w:t>
            </w:r>
          </w:p>
        </w:tc>
      </w:tr>
      <w:tr>
        <w:tc>
          <w:tcPr/>
          <w:p>
            <w:pPr>
              <w:pStyle w:val="Compact"/>
            </w:pPr>
            <w:r>
              <w:t xml:space="preserve">On what evidence?</w:t>
            </w:r>
          </w:p>
        </w:tc>
        <w:tc>
          <w:tcPr/>
          <w:p>
            <w:pPr>
              <w:pStyle w:val="Compact"/>
            </w:pPr>
            <w:r>
              <w:t xml:space="preserve">A named validation with a stated scope, so that a reader can see at once that September's index and October's model lay outside it</w:t>
            </w:r>
          </w:p>
        </w:tc>
      </w:tr>
      <w:tr>
        <w:tc>
          <w:tcPr/>
          <w:p>
            <w:pPr>
              <w:pStyle w:val="Compact"/>
            </w:pPr>
            <w:r>
              <w:t xml:space="preserve">What record exists now?</w:t>
            </w:r>
          </w:p>
        </w:tc>
        <w:tc>
          <w:tcPr/>
          <w:p>
            <w:pPr>
              <w:pStyle w:val="Compact"/>
            </w:pPr>
            <w:r>
              <w:t xml:space="preserve">This one, with its conditions dated and owned, its triggers named, and its policy version recorded</w:t>
            </w:r>
          </w:p>
        </w:tc>
      </w:tr>
    </w:tbl>
    <w:bookmarkEnd w:id="17"/>
    <w:bookmarkStart w:id="18" w:name="empty-fields-carried-to-the-gap-plan"/>
    <w:p>
      <w:pPr>
        <w:pStyle w:val="Heading2"/>
      </w:pPr>
      <w:r>
        <w:t xml:space="preserve">Empty fields, carried to the gap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Empty or incomplete field</w:t>
            </w:r>
          </w:p>
        </w:tc>
        <w:tc>
          <w:tcPr/>
          <w:p>
            <w:pPr>
              <w:pStyle w:val="Compact"/>
            </w:pPr>
            <w:r>
              <w:t xml:space="preserve">What it named (Chapter 6)</w:t>
            </w:r>
          </w:p>
        </w:tc>
        <w:tc>
          <w:tcPr/>
          <w:p>
            <w:pPr>
              <w:pStyle w:val="Compact"/>
            </w:pPr>
            <w:r>
              <w:t xml:space="preserve">The gate that requires it</w:t>
            </w:r>
          </w:p>
        </w:tc>
        <w:tc>
          <w:tcPr/>
          <w:p>
            <w:pPr>
              <w:pStyle w:val="Compact"/>
            </w:pPr>
            <w:r>
              <w:t xml:space="preserve">The person who will have to produce it</w:t>
            </w:r>
          </w:p>
        </w:tc>
      </w:tr>
      <w:tr>
        <w:tc>
          <w:tcPr/>
          <w:p>
            <w:pPr>
              <w:pStyle w:val="Compact"/>
            </w:pPr>
            <w:r>
              <w:t xml:space="preserve">System and version</w:t>
            </w:r>
          </w:p>
        </w:tc>
        <w:tc>
          <w:tcPr/>
          <w:p>
            <w:pPr>
              <w:pStyle w:val="Compact"/>
            </w:pPr>
            <w:r>
              <w:t xml:space="preserve">The model version, which changed on 3 October 2025</w:t>
            </w:r>
          </w:p>
        </w:tc>
        <w:tc>
          <w:tcPr/>
          <w:p>
            <w:pPr>
              <w:pStyle w:val="Compact"/>
            </w:pPr>
            <w:r>
              <w:t xml:space="preserve">G3 Approval (this record)</w:t>
            </w:r>
          </w:p>
        </w:tc>
        <w:tc>
          <w:tcPr/>
          <w:p>
            <w:pPr>
              <w:pStyle w:val="Compact"/>
            </w:pPr>
            <w:r>
              <w:t xml:space="preserve">Marcus Leblanc, in conversational platforms, owns Coldbrook's evidence line, because the fix is a change to what the build emits and retains (Chapter 11)</w:t>
            </w:r>
          </w:p>
        </w:tc>
      </w:tr>
      <w:tr>
        <w:tc>
          <w:tcPr/>
          <w:p>
            <w:pPr>
              <w:pStyle w:val="Compact"/>
            </w:pPr>
            <w:r>
              <w:t xml:space="preserve">Accountable person</w:t>
            </w:r>
          </w:p>
        </w:tc>
        <w:tc>
          <w:tcPr/>
          <w:p>
            <w:pPr>
              <w:pStyle w:val="Compact"/>
            </w:pPr>
            <w:r>
              <w:t xml:space="preserve">The person nobody had named</w:t>
            </w:r>
          </w:p>
        </w:tc>
        <w:tc>
          <w:tcPr/>
          <w:p>
            <w:pPr>
              <w:pStyle w:val="Compact"/>
            </w:pPr>
            <w:r>
              <w:t xml:space="preserve">G3 Approval</w:t>
            </w:r>
          </w:p>
        </w:tc>
        <w:tc>
          <w:tcPr/>
          <w:p>
            <w:pPr>
              <w:pStyle w:val="Compact"/>
            </w:pPr>
            <w:r>
              <w:t xml:space="preserve">[not stated in the book]</w:t>
            </w:r>
          </w:p>
        </w:tc>
      </w:tr>
      <w:tr>
        <w:tc>
          <w:tcPr/>
          <w:p>
            <w:pPr>
              <w:pStyle w:val="Compact"/>
            </w:pPr>
            <w:r>
              <w:t xml:space="preserve">Conditions</w:t>
            </w:r>
          </w:p>
        </w:tc>
        <w:tc>
          <w:tcPr/>
          <w:p>
            <w:pPr>
              <w:pStyle w:val="Compact"/>
            </w:pPr>
            <w:r>
              <w:t xml:space="preserve">The retrieval index, unclassified, which grew on 9 September 2025; the model version, not logged; the commitment language nothing watched</w:t>
            </w:r>
          </w:p>
        </w:tc>
        <w:tc>
          <w:tcPr/>
          <w:p>
            <w:pPr>
              <w:pStyle w:val="Compact"/>
            </w:pPr>
            <w:r>
              <w:t xml:space="preserve">G3 Approval</w:t>
            </w:r>
          </w:p>
        </w:tc>
        <w:tc>
          <w:tcPr/>
          <w:p>
            <w:pPr>
              <w:pStyle w:val="Compact"/>
            </w:pPr>
            <w:r>
              <w:t xml:space="preserve">[not stated in the book]</w:t>
            </w:r>
          </w:p>
        </w:tc>
      </w:tr>
      <w:tr>
        <w:tc>
          <w:tcPr/>
          <w:p>
            <w:pPr>
              <w:pStyle w:val="Compact"/>
            </w:pPr>
            <w:r>
              <w:t xml:space="preserve">Expiry or revalidation trigger</w:t>
            </w:r>
          </w:p>
        </w:tc>
        <w:tc>
          <w:tcPr/>
          <w:p>
            <w:pPr>
              <w:pStyle w:val="Compact"/>
            </w:pPr>
            <w:r>
              <w:t xml:space="preserve">A provider model version change; an addition to the retrieval index</w:t>
            </w:r>
          </w:p>
        </w:tc>
        <w:tc>
          <w:tcPr/>
          <w:p>
            <w:pPr>
              <w:pStyle w:val="Compact"/>
            </w:pPr>
            <w:r>
              <w:t xml:space="preserve">G3 Approval</w:t>
            </w:r>
          </w:p>
        </w:tc>
        <w:tc>
          <w:tcPr/>
          <w:p>
            <w:pPr>
              <w:pStyle w:val="Compact"/>
            </w:pPr>
            <w:r>
              <w:t xml:space="preserve">[not stated in the book]</w:t>
            </w:r>
          </w:p>
        </w:tc>
      </w:tr>
      <w:tr>
        <w:tc>
          <w:tcPr/>
          <w:p>
            <w:pPr>
              <w:pStyle w:val="Compact"/>
            </w:pPr>
            <w:r>
              <w:t xml:space="preserve">Policy version in force</w:t>
            </w:r>
          </w:p>
        </w:tc>
        <w:tc>
          <w:tcPr/>
          <w:p>
            <w:pPr>
              <w:pStyle w:val="Compact"/>
            </w:pPr>
            <w:r>
              <w:t xml:space="preserve">[not stated in the book]</w:t>
            </w:r>
          </w:p>
        </w:tc>
        <w:tc>
          <w:tcPr/>
          <w:p>
            <w:pPr>
              <w:pStyle w:val="Compact"/>
            </w:pPr>
            <w:r>
              <w:t xml:space="preserve">G3 Approval</w:t>
            </w:r>
          </w:p>
        </w:tc>
        <w:tc>
          <w:tcPr/>
          <w:p>
            <w:pPr>
              <w:pStyle w:val="Compact"/>
            </w:pPr>
            <w:r>
              <w:t xml:space="preserve">[not stated in the book]</w:t>
            </w:r>
          </w:p>
        </w:tc>
      </w:tr>
    </w:tbl>
    <w:p>
      <w:pPr>
        <w:pStyle w:val="BodyText"/>
      </w:pPr>
      <w:r>
        <w:t xml:space="preserve">The rewritten record does not make Coldbrook's decision a better one. It makes it a decision, with a person, a scope, a set of conditions and a trigger, instead of a meeting (Chapter 6).</w:t>
      </w:r>
    </w:p>
    <w:p>
      <w:pPr>
        <w:pStyle w:val="BodyText"/>
      </w:pPr>
      <w:r>
        <w:t xml:space="preserve">nabeelkhan.com/e-23/boe-declaration.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BOE Declaration template and the Coldbrook worked example</dc:title>
  <dc:creator>Dr. Nabeel A. Khan</dc:creator>
  <cp:keywords/>
  <dcterms:created xsi:type="dcterms:W3CDTF">2026-10-18T10:02:51Z</dcterms:created>
  <dcterms:modified xsi:type="dcterms:W3CDTF">2026-10-18T10:02:51Z</dcterms:modified>
</cp:coreProperties>
</file>

<file path=docProps/custom.xml><?xml version="1.0" encoding="utf-8"?>
<Properties xmlns="http://schemas.openxmlformats.org/officeDocument/2006/custom-properties" xmlns:vt="http://schemas.openxmlformats.org/officeDocument/2006/docPropsVTypes"/>
</file>