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Xe10c6e664605ab0152ed92e5450614228358250"/>
    <w:p>
      <w:pPr>
        <w:pStyle w:val="Heading1"/>
      </w:pPr>
      <w:r>
        <w:t xml:space="preserve">Regulatory Notification Template (PDPL Breach)</w:t>
      </w:r>
    </w:p>
    <w:p>
      <w:pPr>
        <w:pStyle w:val="FirstParagraph"/>
      </w:pPr>
      <w:r>
        <w:t xml:space="preserve">Template 37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Provide the deployable notification structure for a personal data breach under Personal Data Protection Law regimes in Saudi Arabia and the UAE.</w:t>
      </w:r>
    </w:p>
    <w:p>
      <w:pPr>
        <w:pStyle w:val="BodyText"/>
      </w:pPr>
      <w:r>
        <w:rPr>
          <w:b/>
          <w:bCs/>
        </w:rPr>
        <w:t xml:space="preserve">When to use.</w:t>
      </w:r>
      <w:r>
        <w:t xml:space="preserve"> </w:t>
      </w:r>
      <w:r>
        <w:t xml:space="preserve">Whenever a confirmed or reasonably suspected personal data breach triggers PDPL notification obligations.</w:t>
      </w:r>
    </w:p>
    <w:p>
      <w:pPr>
        <w:pStyle w:val="BodyText"/>
      </w:pPr>
      <w:r>
        <w:rPr>
          <w:b/>
          <w:bCs/>
        </w:rPr>
        <w:t xml:space="preserve">Where the book explains it.</w:t>
      </w:r>
      <w:r>
        <w:t xml:space="preserve"> </w:t>
      </w:r>
      <w:r>
        <w:t xml:space="preserve">Operationalizes the regulatory discipline Chapter 15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10" w:name="personal-data-breach-notification"/>
    <w:p>
      <w:pPr>
        <w:pStyle w:val="Heading1"/>
      </w:pPr>
      <w:r>
        <w:t xml:space="preserve">PERSONAL DATA BREACH NOTIFICATION</w:t>
      </w:r>
    </w:p>
    <w:bookmarkEnd w:id="10"/>
    <w:bookmarkStart w:id="23" w:name="to-regulatory-authority"/>
    <w:p>
      <w:pPr>
        <w:pStyle w:val="Heading1"/>
      </w:pPr>
      <w:r>
        <w:t xml:space="preserve">[TO REGULATORY AUTHORITY]</w:t>
      </w:r>
    </w:p>
    <w:p>
      <w:pPr>
        <w:pStyle w:val="FirstParagraph"/>
      </w:pPr>
      <w:r>
        <w:rPr>
          <w:b/>
          <w:bCs/>
        </w:rPr>
        <w:t xml:space="preserve">Confidential: Regulatory Communication</w:t>
      </w:r>
    </w:p>
    <w:p>
      <w:r>
        <w:pict>
          <v:rect style="width:0;height:1.5pt" o:hralign="center" o:hrstd="t" o:hr="t"/>
        </w:pict>
      </w:r>
    </w:p>
    <w:p>
      <w:pPr>
        <w:pStyle w:val="FirstParagraph"/>
      </w:pPr>
      <w:r>
        <w:rPr>
          <w:b/>
          <w:bCs/>
        </w:rPr>
        <w:t xml:space="preserve">[Institution Letterhead]</w:t>
      </w:r>
    </w:p>
    <w:p>
      <w:pPr>
        <w:pStyle w:val="BodyText"/>
      </w:pPr>
      <w:r>
        <w:t xml:space="preserve">[Date]</w:t>
      </w:r>
    </w:p>
    <w:p>
      <w:pPr>
        <w:pStyle w:val="BodyText"/>
      </w:pPr>
      <w:r>
        <w:rPr>
          <w:b/>
          <w:bCs/>
        </w:rPr>
        <w:t xml:space="preserve">To</w:t>
      </w:r>
      <w:r>
        <w:t xml:space="preserve">: [Regulatory Authority Name]</w:t>
      </w:r>
      <w:r>
        <w:t xml:space="preserve"> </w:t>
      </w:r>
      <w:r>
        <w:t xml:space="preserve">[Authority Address]</w:t>
      </w:r>
      <w:r>
        <w:t xml:space="preserve"> </w:t>
      </w:r>
      <w:r>
        <w:t xml:space="preserve">Attention: [Data Protection Authority Officer / SDAIA Officer / Federal Authority for Artificial Intelligence and Data Officer]</w:t>
      </w:r>
    </w:p>
    <w:p>
      <w:pPr>
        <w:pStyle w:val="BodyText"/>
      </w:pPr>
      <w:r>
        <w:rPr>
          <w:b/>
          <w:bCs/>
        </w:rPr>
        <w:t xml:space="preserve">Reference</w:t>
      </w:r>
      <w:r>
        <w:t xml:space="preserve">: [Institutional Reference Number]</w:t>
      </w:r>
    </w:p>
    <w:p>
      <w:pPr>
        <w:pStyle w:val="BodyText"/>
      </w:pPr>
      <w:r>
        <w:rPr>
          <w:b/>
          <w:bCs/>
        </w:rPr>
        <w:t xml:space="preserve">Subject</w:t>
      </w:r>
      <w:r>
        <w:t xml:space="preserve">: Personal Data Breach Notification under [the Saudi PDPL and its Implementing Regulations / UAE Federal PDPL Article 9]</w:t>
      </w:r>
    </w:p>
    <w:p>
      <w:r>
        <w:pict>
          <v:rect style="width:0;height:1.5pt" o:hralign="center" o:hrstd="t" o:hr="t"/>
        </w:pict>
      </w:r>
    </w:p>
    <w:bookmarkStart w:id="11" w:name="institution-identification"/>
    <w:p>
      <w:pPr>
        <w:pStyle w:val="Heading2"/>
      </w:pPr>
      <w:r>
        <w:t xml:space="preserve">1. Institution Identification</w:t>
      </w:r>
    </w:p>
    <w:p>
      <w:pPr>
        <w:pStyle w:val="FirstParagraph"/>
      </w:pPr>
      <w:r>
        <w:rPr>
          <w:b/>
          <w:bCs/>
        </w:rPr>
        <w:t xml:space="preserve">Institution Name</w:t>
      </w:r>
      <w:r>
        <w:t xml:space="preserve">: [Full legal name]</w:t>
      </w:r>
      <w:r>
        <w:t xml:space="preserve"> </w:t>
      </w:r>
      <w:r>
        <w:rPr>
          <w:b/>
          <w:bCs/>
        </w:rPr>
        <w:t xml:space="preserve">License Number</w:t>
      </w:r>
      <w:r>
        <w:t xml:space="preserve">: [Regulatory license reference]</w:t>
      </w:r>
      <w:r>
        <w:t xml:space="preserve"> </w:t>
      </w:r>
      <w:r>
        <w:rPr>
          <w:b/>
          <w:bCs/>
        </w:rPr>
        <w:t xml:space="preserve">Address</w:t>
      </w:r>
      <w:r>
        <w:t xml:space="preserve">: [Registered address]</w:t>
      </w:r>
      <w:r>
        <w:t xml:space="preserve"> </w:t>
      </w:r>
      <w:r>
        <w:rPr>
          <w:b/>
          <w:bCs/>
        </w:rPr>
        <w:t xml:space="preserve">Data Protection Officer</w:t>
      </w:r>
      <w:r>
        <w:t xml:space="preserve">: [Name, Title, Direct Phone, Email]</w:t>
      </w:r>
      <w:r>
        <w:t xml:space="preserve"> </w:t>
      </w:r>
      <w:r>
        <w:rPr>
          <w:b/>
          <w:bCs/>
        </w:rPr>
        <w:t xml:space="preserve">Incident Single Point of Contact</w:t>
      </w:r>
      <w:r>
        <w:t xml:space="preserve">: [Name, Title, Direct Phone, Email available 24/7 during incident]</w:t>
      </w:r>
    </w:p>
    <w:p>
      <w:r>
        <w:pict>
          <v:rect style="width:0;height:1.5pt" o:hralign="center" o:hrstd="t" o:hr="t"/>
        </w:pict>
      </w:r>
    </w:p>
    <w:bookmarkEnd w:id="11"/>
    <w:bookmarkStart w:id="12" w:name="notification-timing-and-statutory-basis"/>
    <w:p>
      <w:pPr>
        <w:pStyle w:val="Heading2"/>
      </w:pPr>
      <w:r>
        <w:t xml:space="preserve">2. Notification Timing and Statutory Basis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Field</w:t>
            </w:r>
          </w:p>
        </w:tc>
        <w:tc>
          <w:tcPr/>
          <w:p>
            <w:pPr>
              <w:pStyle w:val="Compact"/>
            </w:pPr>
            <w:r>
              <w:t xml:space="preserve">Value</w:t>
            </w:r>
          </w:p>
        </w:tc>
      </w:tr>
      <w:tr>
        <w:tc>
          <w:tcPr/>
          <w:p>
            <w:pPr>
              <w:pStyle w:val="Compact"/>
            </w:pPr>
            <w:r>
              <w:t xml:space="preserve">Date and Time of Breach Discovery</w:t>
            </w:r>
          </w:p>
        </w:tc>
        <w:tc>
          <w:tcPr/>
          <w:p>
            <w:pPr>
              <w:pStyle w:val="Compact"/>
            </w:pPr>
            <w:r>
              <w:t xml:space="preserve">[DD/MM/YYYY HH:MM, Time Zone]</w:t>
            </w:r>
          </w:p>
        </w:tc>
      </w:tr>
      <w:tr>
        <w:tc>
          <w:tcPr/>
          <w:p>
            <w:pPr>
              <w:pStyle w:val="Compact"/>
            </w:pPr>
            <w:r>
              <w:t xml:space="preserve">Date and Time of This Notification</w:t>
            </w:r>
          </w:p>
        </w:tc>
        <w:tc>
          <w:tcPr/>
          <w:p>
            <w:pPr>
              <w:pStyle w:val="Compact"/>
            </w:pPr>
            <w:r>
              <w:t xml:space="preserve">[DD/MM/YYYY HH:MM, Time Zone]</w:t>
            </w:r>
          </w:p>
        </w:tc>
      </w:tr>
      <w:tr>
        <w:tc>
          <w:tcPr/>
          <w:p>
            <w:pPr>
              <w:pStyle w:val="Compact"/>
            </w:pPr>
            <w:r>
              <w:t xml:space="preserve">Hours Elapsed Since Discovery</w:t>
            </w:r>
          </w:p>
        </w:tc>
        <w:tc>
          <w:tcPr/>
          <w:p>
            <w:pPr>
              <w:pStyle w:val="Compact"/>
            </w:pPr>
            <w:r>
              <w:t xml:space="preserve">[N hours]</w:t>
            </w:r>
          </w:p>
        </w:tc>
      </w:tr>
      <w:tr>
        <w:tc>
          <w:tcPr/>
          <w:p>
            <w:pPr>
              <w:pStyle w:val="Compact"/>
            </w:pPr>
            <w:r>
              <w:t xml:space="preserve">Statutory Notification Deadline</w:t>
            </w:r>
          </w:p>
        </w:tc>
        <w:tc>
          <w:tcPr/>
          <w:p>
            <w:pPr>
              <w:pStyle w:val="Compact"/>
            </w:pPr>
            <w:r>
              <w:t xml:space="preserve">[DD/MM/YYYY HH:MM, Time Zone]</w:t>
            </w:r>
          </w:p>
        </w:tc>
      </w:tr>
      <w:tr>
        <w:tc>
          <w:tcPr/>
          <w:p>
            <w:pPr>
              <w:pStyle w:val="Compact"/>
            </w:pPr>
            <w:r>
              <w:t xml:space="preserve">Notification Status</w:t>
            </w:r>
          </w:p>
        </w:tc>
        <w:tc>
          <w:tcPr/>
          <w:p>
            <w:pPr>
              <w:pStyle w:val="Compact"/>
            </w:pPr>
            <w:r>
              <w:t xml:space="preserve">[Within Deadline / Late with Explanation]</w:t>
            </w:r>
          </w:p>
        </w:tc>
      </w:tr>
    </w:tbl>
    <w:p>
      <w:pPr>
        <w:pStyle w:val="BodyText"/>
      </w:pPr>
      <w:r>
        <w:t xml:space="preserve">This notification is provided under [cite specific PDPL Article and Implementing Regulation Article triggering the obligation]. Where information is incomplete, the Institution commits to providing updates as investigation progresses per Section 9 of this notification.</w:t>
      </w:r>
    </w:p>
    <w:p>
      <w:r>
        <w:pict>
          <v:rect style="width:0;height:1.5pt" o:hralign="center" o:hrstd="t" o:hr="t"/>
        </w:pict>
      </w:r>
    </w:p>
    <w:bookmarkEnd w:id="12"/>
    <w:bookmarkStart w:id="13" w:name="nature-of-the-personal-data-breach"/>
    <w:p>
      <w:pPr>
        <w:pStyle w:val="Heading2"/>
      </w:pPr>
      <w:r>
        <w:t xml:space="preserve">3. Nature of the Personal Data Breach</w:t>
      </w:r>
    </w:p>
    <w:p>
      <w:pPr>
        <w:pStyle w:val="FirstParagraph"/>
      </w:pPr>
      <w:r>
        <w:rPr>
          <w:b/>
          <w:bCs/>
        </w:rPr>
        <w:t xml:space="preserve">Description of the Breach</w:t>
      </w:r>
      <w:r>
        <w:t xml:space="preserve"> </w:t>
      </w:r>
      <w:r>
        <w:t xml:space="preserve">(factual, three to five paragraphs):</w:t>
      </w:r>
    </w:p>
    <w:p>
      <w:pPr>
        <w:pStyle w:val="BodyText"/>
      </w:pPr>
      <w:r>
        <w:t xml:space="preserve">On [date], the Institution discovered [describe the discovery mechanism: monitoring alert, audit finding, customer report, third-party notification]. Initial investigation confirmed that [factual statement of what occurred, what was accessed, by whom if known, through what mechanism].</w:t>
      </w:r>
    </w:p>
    <w:p>
      <w:pPr>
        <w:pStyle w:val="BodyText"/>
      </w:pPr>
      <w:r>
        <w:t xml:space="preserve">The breach involves [type of breach: confidentiality breach, integrity breach, availability breach, or combination] affecting personal data processed by the Institution's [system or service name].</w:t>
      </w:r>
    </w:p>
    <w:p>
      <w:pPr>
        <w:pStyle w:val="BodyText"/>
      </w:pPr>
      <w:r>
        <w:rPr>
          <w:b/>
          <w:bCs/>
        </w:rPr>
        <w:t xml:space="preserve">Categories of Personal Data Affected</w:t>
      </w:r>
      <w:r>
        <w:t xml:space="preserve">:</w:t>
      </w:r>
    </w:p>
    <w:p>
      <w:pPr>
        <w:pStyle w:val="Compact"/>
        <w:numPr>
          <w:ilvl w:val="0"/>
          <w:numId w:val="1001"/>
        </w:numPr>
      </w:pPr>
      <w:r>
        <w:t xml:space="preserve">[Category 1, e.g., Identification data: full name, national ID number, date of birth]</w:t>
      </w:r>
    </w:p>
    <w:p>
      <w:pPr>
        <w:pStyle w:val="Compact"/>
        <w:numPr>
          <w:ilvl w:val="0"/>
          <w:numId w:val="1001"/>
        </w:numPr>
      </w:pPr>
      <w:r>
        <w:t xml:space="preserve">[Category 2, e.g., Contact data: phone number, email address, residential address]</w:t>
      </w:r>
    </w:p>
    <w:p>
      <w:pPr>
        <w:pStyle w:val="Compact"/>
        <w:numPr>
          <w:ilvl w:val="0"/>
          <w:numId w:val="1001"/>
        </w:numPr>
      </w:pPr>
      <w:r>
        <w:t xml:space="preserve">[Category 3, e.g., Financial data: account numbers, transaction history]</w:t>
      </w:r>
    </w:p>
    <w:p>
      <w:pPr>
        <w:pStyle w:val="Compact"/>
        <w:numPr>
          <w:ilvl w:val="0"/>
          <w:numId w:val="1001"/>
        </w:numPr>
      </w:pPr>
      <w:r>
        <w:t xml:space="preserve">[Category N as applicable]</w:t>
      </w:r>
    </w:p>
    <w:p>
      <w:pPr>
        <w:pStyle w:val="FirstParagraph"/>
      </w:pPr>
      <w:r>
        <w:rPr>
          <w:b/>
          <w:bCs/>
        </w:rPr>
        <w:t xml:space="preserve">Sensitive Personal Data Affected</w:t>
      </w:r>
      <w:r>
        <w:t xml:space="preserve"> </w:t>
      </w:r>
      <w:r>
        <w:t xml:space="preserve">(if applicable per the PDPL definitions, UAE Article 1):</w:t>
      </w:r>
    </w:p>
    <w:p>
      <w:pPr>
        <w:pStyle w:val="Compact"/>
        <w:numPr>
          <w:ilvl w:val="0"/>
          <w:numId w:val="1002"/>
        </w:numPr>
      </w:pPr>
      <w:r>
        <w:t xml:space="preserve">[Category, e.g., Health data, biometric data, religious affiliation]</w:t>
      </w:r>
    </w:p>
    <w:p>
      <w:pPr>
        <w:pStyle w:val="FirstParagraph"/>
      </w:pPr>
      <w:r>
        <w:rPr>
          <w:b/>
          <w:bCs/>
        </w:rPr>
        <w:t xml:space="preserve">Approximate Number of Data Subjects Affected</w:t>
      </w:r>
      <w:r>
        <w:t xml:space="preserve">: [Number, broken down by jurisdiction if relevant]</w:t>
      </w:r>
    </w:p>
    <w:p>
      <w:pPr>
        <w:pStyle w:val="BodyText"/>
      </w:pPr>
      <w:r>
        <w:rPr>
          <w:b/>
          <w:bCs/>
        </w:rPr>
        <w:t xml:space="preserve">Approximate Number of Personal Data Records Affected</w:t>
      </w:r>
      <w:r>
        <w:t xml:space="preserve">: [Number]</w:t>
      </w:r>
    </w:p>
    <w:p>
      <w:r>
        <w:pict>
          <v:rect style="width:0;height:1.5pt" o:hralign="center" o:hrstd="t" o:hr="t"/>
        </w:pict>
      </w:r>
    </w:p>
    <w:bookmarkEnd w:id="13"/>
    <w:bookmarkStart w:id="14" w:name="cause-of-the-breach"/>
    <w:p>
      <w:pPr>
        <w:pStyle w:val="Heading2"/>
      </w:pPr>
      <w:r>
        <w:t xml:space="preserve">4. Cause of the Breach</w:t>
      </w:r>
    </w:p>
    <w:p>
      <w:pPr>
        <w:pStyle w:val="FirstParagraph"/>
      </w:pPr>
      <w:r>
        <w:rPr>
          <w:b/>
          <w:bCs/>
        </w:rPr>
        <w:t xml:space="preserve">Root Cause</w:t>
      </w:r>
      <w:r>
        <w:t xml:space="preserve"> </w:t>
      </w:r>
      <w:r>
        <w:t xml:space="preserve">(where determined; where not yet determined, state "Under investigation"):</w:t>
      </w:r>
    </w:p>
    <w:p>
      <w:pPr>
        <w:pStyle w:val="BodyText"/>
      </w:pPr>
      <w:r>
        <w:t xml:space="preserve">[Describe the root cause: technical vulnerability exploited, process gap, human error, vendor compromise, malicious external action, malicious internal action, accidental disclosure].</w:t>
      </w:r>
    </w:p>
    <w:p>
      <w:pPr>
        <w:pStyle w:val="BodyText"/>
      </w:pPr>
      <w:r>
        <w:rPr>
          <w:b/>
          <w:bCs/>
        </w:rPr>
        <w:t xml:space="preserve">Contributing Factors</w:t>
      </w:r>
      <w:r>
        <w:t xml:space="preserve"> </w:t>
      </w:r>
      <w:r>
        <w:t xml:space="preserve">(where identified):</w:t>
      </w:r>
    </w:p>
    <w:p>
      <w:pPr>
        <w:pStyle w:val="Compact"/>
        <w:numPr>
          <w:ilvl w:val="0"/>
          <w:numId w:val="1003"/>
        </w:numPr>
      </w:pPr>
      <w:r>
        <w:t xml:space="preserve">[Factor 1]</w:t>
      </w:r>
    </w:p>
    <w:p>
      <w:pPr>
        <w:pStyle w:val="Compact"/>
        <w:numPr>
          <w:ilvl w:val="0"/>
          <w:numId w:val="1003"/>
        </w:numPr>
      </w:pPr>
      <w:r>
        <w:t xml:space="preserve">[Factor 2]</w:t>
      </w:r>
    </w:p>
    <w:p>
      <w:pPr>
        <w:pStyle w:val="Compact"/>
        <w:numPr>
          <w:ilvl w:val="0"/>
          <w:numId w:val="1003"/>
        </w:numPr>
      </w:pPr>
      <w:r>
        <w:t xml:space="preserve">[Factor N]</w:t>
      </w:r>
    </w:p>
    <w:p>
      <w:pPr>
        <w:pStyle w:val="FirstParagraph"/>
      </w:pPr>
      <w:r>
        <w:rPr>
          <w:b/>
          <w:bCs/>
        </w:rPr>
        <w:t xml:space="preserve">AI System Involvement</w:t>
      </w:r>
      <w:r>
        <w:t xml:space="preserve"> </w:t>
      </w:r>
      <w:r>
        <w:t xml:space="preserve">(where applicable):</w:t>
      </w:r>
    </w:p>
    <w:p>
      <w:pPr>
        <w:pStyle w:val="BodyText"/>
      </w:pPr>
      <w:r>
        <w:t xml:space="preserve">The breach [does / does not] involve an AI system. The AI system affected is [system name, model card reference]. The AI involvement is [training data exposure, inference log exposure, model artifact exposure, prediction output exposure].</w:t>
      </w:r>
    </w:p>
    <w:p>
      <w:r>
        <w:pict>
          <v:rect style="width:0;height:1.5pt" o:hralign="center" o:hrstd="t" o:hr="t"/>
        </w:pict>
      </w:r>
    </w:p>
    <w:bookmarkEnd w:id="14"/>
    <w:bookmarkStart w:id="15" w:name="likely-consequences-of-the-breach"/>
    <w:p>
      <w:pPr>
        <w:pStyle w:val="Heading2"/>
      </w:pPr>
      <w:r>
        <w:t xml:space="preserve">5. Likely Consequences of the Breach</w:t>
      </w:r>
    </w:p>
    <w:p>
      <w:pPr>
        <w:pStyle w:val="FirstParagraph"/>
      </w:pPr>
      <w:r>
        <w:rPr>
          <w:b/>
          <w:bCs/>
        </w:rPr>
        <w:t xml:space="preserve">Risk to Data Subjects</w:t>
      </w:r>
      <w:r>
        <w:t xml:space="preserv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Risk Type</w:t>
            </w:r>
          </w:p>
        </w:tc>
        <w:tc>
          <w:tcPr/>
          <w:p>
            <w:pPr>
              <w:pStyle w:val="Compact"/>
            </w:pPr>
            <w:r>
              <w:t xml:space="preserve">Severity</w:t>
            </w:r>
          </w:p>
        </w:tc>
        <w:tc>
          <w:tcPr/>
          <w:p>
            <w:pPr>
              <w:pStyle w:val="Compact"/>
            </w:pPr>
            <w:r>
              <w:t xml:space="preserve">Likelihood</w:t>
            </w:r>
          </w:p>
        </w:tc>
        <w:tc>
          <w:tcPr/>
          <w:p>
            <w:pPr>
              <w:pStyle w:val="Compact"/>
            </w:pPr>
            <w:r>
              <w:t xml:space="preserve">Affected Population</w:t>
            </w:r>
          </w:p>
        </w:tc>
      </w:tr>
      <w:tr>
        <w:tc>
          <w:tcPr/>
          <w:p>
            <w:pPr>
              <w:pStyle w:val="Compact"/>
            </w:pPr>
            <w:r>
              <w:t xml:space="preserve">Identity theft</w:t>
            </w:r>
          </w:p>
        </w:tc>
        <w:tc>
          <w:tcPr/>
          <w:p>
            <w:pPr>
              <w:pStyle w:val="Compact"/>
            </w:pPr>
            <w:r>
              <w:t xml:space="preserve">[High/Medium/Low]</w:t>
            </w:r>
          </w:p>
        </w:tc>
        <w:tc>
          <w:tcPr/>
          <w:p>
            <w:pPr>
              <w:pStyle w:val="Compact"/>
            </w:pPr>
            <w:r>
              <w:t xml:space="preserve">[High/Medium/Low]</w:t>
            </w:r>
          </w:p>
        </w:tc>
        <w:tc>
          <w:tcPr/>
          <w:p>
            <w:pPr>
              <w:pStyle w:val="Compact"/>
            </w:pPr>
            <w:r>
              <w:t xml:space="preserve">[All affected / Subset]</w:t>
            </w:r>
          </w:p>
        </w:tc>
      </w:tr>
      <w:tr>
        <w:tc>
          <w:tcPr/>
          <w:p>
            <w:pPr>
              <w:pStyle w:val="Compact"/>
            </w:pPr>
            <w:r>
              <w:t xml:space="preserve">Financial fraud</w:t>
            </w:r>
          </w:p>
        </w:tc>
        <w:tc>
          <w:tcPr/>
          <w:p>
            <w:pPr>
              <w:pStyle w:val="Compact"/>
            </w:pPr>
            <w:r>
              <w:t xml:space="preserve">[High/Medium/Low]</w:t>
            </w:r>
          </w:p>
        </w:tc>
        <w:tc>
          <w:tcPr/>
          <w:p>
            <w:pPr>
              <w:pStyle w:val="Compact"/>
            </w:pPr>
            <w:r>
              <w:t xml:space="preserve">[High/Medium/Low]</w:t>
            </w:r>
          </w:p>
        </w:tc>
        <w:tc>
          <w:tcPr/>
          <w:p>
            <w:pPr>
              <w:pStyle w:val="Compact"/>
            </w:pPr>
            <w:r>
              <w:t xml:space="preserve">[Population]</w:t>
            </w:r>
          </w:p>
        </w:tc>
      </w:tr>
      <w:tr>
        <w:tc>
          <w:tcPr/>
          <w:p>
            <w:pPr>
              <w:pStyle w:val="Compact"/>
            </w:pPr>
            <w:r>
              <w:t xml:space="preserve">Reputational harm</w:t>
            </w:r>
          </w:p>
        </w:tc>
        <w:tc>
          <w:tcPr/>
          <w:p>
            <w:pPr>
              <w:pStyle w:val="Compact"/>
            </w:pPr>
            <w:r>
              <w:t xml:space="preserve">[High/Medium/Low]</w:t>
            </w:r>
          </w:p>
        </w:tc>
        <w:tc>
          <w:tcPr/>
          <w:p>
            <w:pPr>
              <w:pStyle w:val="Compact"/>
            </w:pPr>
            <w:r>
              <w:t xml:space="preserve">[High/Medium/Low]</w:t>
            </w:r>
          </w:p>
        </w:tc>
        <w:tc>
          <w:tcPr/>
          <w:p>
            <w:pPr>
              <w:pStyle w:val="Compact"/>
            </w:pPr>
            <w:r>
              <w:t xml:space="preserve">[Population]</w:t>
            </w:r>
          </w:p>
        </w:tc>
      </w:tr>
      <w:tr>
        <w:tc>
          <w:tcPr/>
          <w:p>
            <w:pPr>
              <w:pStyle w:val="Compact"/>
            </w:pPr>
            <w:r>
              <w:t xml:space="preserve">Discrimination</w:t>
            </w:r>
          </w:p>
        </w:tc>
        <w:tc>
          <w:tcPr/>
          <w:p>
            <w:pPr>
              <w:pStyle w:val="Compact"/>
            </w:pPr>
            <w:r>
              <w:t xml:space="preserve">[High/Medium/Low]</w:t>
            </w:r>
          </w:p>
        </w:tc>
        <w:tc>
          <w:tcPr/>
          <w:p>
            <w:pPr>
              <w:pStyle w:val="Compact"/>
            </w:pPr>
            <w:r>
              <w:t xml:space="preserve">[High/Medium/Low]</w:t>
            </w:r>
          </w:p>
        </w:tc>
        <w:tc>
          <w:tcPr/>
          <w:p>
            <w:pPr>
              <w:pStyle w:val="Compact"/>
            </w:pPr>
            <w:r>
              <w:t xml:space="preserve">[Population]</w:t>
            </w:r>
          </w:p>
        </w:tc>
      </w:tr>
      <w:tr>
        <w:tc>
          <w:tcPr/>
          <w:p>
            <w:pPr>
              <w:pStyle w:val="Compact"/>
            </w:pPr>
            <w:r>
              <w:t xml:space="preserve">Loss of confidentiality</w:t>
            </w:r>
          </w:p>
        </w:tc>
        <w:tc>
          <w:tcPr/>
          <w:p>
            <w:pPr>
              <w:pStyle w:val="Compact"/>
            </w:pPr>
            <w:r>
              <w:t xml:space="preserve">[High/Medium/Low]</w:t>
            </w:r>
          </w:p>
        </w:tc>
        <w:tc>
          <w:tcPr/>
          <w:p>
            <w:pPr>
              <w:pStyle w:val="Compact"/>
            </w:pPr>
            <w:r>
              <w:t xml:space="preserve">[High/Medium/Low]</w:t>
            </w:r>
          </w:p>
        </w:tc>
        <w:tc>
          <w:tcPr/>
          <w:p>
            <w:pPr>
              <w:pStyle w:val="Compact"/>
            </w:pPr>
            <w:r>
              <w:t xml:space="preserve">[Population]</w:t>
            </w:r>
          </w:p>
        </w:tc>
      </w:tr>
      <w:tr>
        <w:tc>
          <w:tcPr/>
          <w:p>
            <w:pPr>
              <w:pStyle w:val="Compact"/>
            </w:pPr>
            <w:r>
              <w:t xml:space="preserve">Other consequence</w:t>
            </w:r>
          </w:p>
        </w:tc>
        <w:tc>
          <w:tcPr/>
          <w:p>
            <w:pPr>
              <w:pStyle w:val="Compact"/>
            </w:pPr>
            <w:r>
              <w:t xml:space="preserve">[Severity]</w:t>
            </w:r>
          </w:p>
        </w:tc>
        <w:tc>
          <w:tcPr/>
          <w:p>
            <w:pPr>
              <w:pStyle w:val="Compact"/>
            </w:pPr>
            <w:r>
              <w:t xml:space="preserve">[Likelihood]</w:t>
            </w:r>
          </w:p>
        </w:tc>
        <w:tc>
          <w:tcPr/>
          <w:p>
            <w:pPr>
              <w:pStyle w:val="Compact"/>
            </w:pPr>
            <w:r>
              <w:t xml:space="preserve">[Population]</w:t>
            </w:r>
          </w:p>
        </w:tc>
      </w:tr>
    </w:tbl>
    <w:p>
      <w:pPr>
        <w:pStyle w:val="BodyText"/>
      </w:pPr>
      <w:r>
        <w:rPr>
          <w:b/>
          <w:bCs/>
        </w:rPr>
        <w:t xml:space="preserve">Aggregate Risk Assessment</w:t>
      </w:r>
      <w:r>
        <w:t xml:space="preserve">: [Statement of aggregate risk to data subjects]</w:t>
      </w:r>
    </w:p>
    <w:p>
      <w:pPr>
        <w:pStyle w:val="BodyText"/>
      </w:pPr>
      <w:r>
        <w:rPr>
          <w:b/>
          <w:bCs/>
        </w:rPr>
        <w:t xml:space="preserve">Mitigating Factors</w:t>
      </w:r>
      <w:r>
        <w:t xml:space="preserve">: [Factors reducing the risk, such as encryption status of affected data, limited scope of access, prompt containment]</w:t>
      </w:r>
    </w:p>
    <w:p>
      <w:r>
        <w:pict>
          <v:rect style="width:0;height:1.5pt" o:hralign="center" o:hrstd="t" o:hr="t"/>
        </w:pict>
      </w:r>
    </w:p>
    <w:bookmarkEnd w:id="15"/>
    <w:bookmarkStart w:id="16" w:name="containment-status"/>
    <w:p>
      <w:pPr>
        <w:pStyle w:val="Heading2"/>
      </w:pPr>
      <w:r>
        <w:t xml:space="preserve">6. Containment Status</w:t>
      </w:r>
    </w:p>
    <w:p>
      <w:pPr>
        <w:pStyle w:val="FirstParagraph"/>
      </w:pPr>
      <w:r>
        <w:rPr>
          <w:b/>
          <w:bCs/>
        </w:rPr>
        <w:t xml:space="preserve">Containment Actions Completed</w:t>
      </w:r>
      <w:r>
        <w:t xml:space="preserve">:</w:t>
      </w:r>
    </w:p>
    <w:p>
      <w:pPr>
        <w:pStyle w:val="Compact"/>
        <w:numPr>
          <w:ilvl w:val="0"/>
          <w:numId w:val="1004"/>
        </w:numPr>
      </w:pPr>
      <w:r>
        <w:t xml:space="preserve">[Date Time]: [Action, e.g., Affected system isolated from network]</w:t>
      </w:r>
    </w:p>
    <w:p>
      <w:pPr>
        <w:pStyle w:val="Compact"/>
        <w:numPr>
          <w:ilvl w:val="0"/>
          <w:numId w:val="1004"/>
        </w:numPr>
      </w:pPr>
      <w:r>
        <w:t xml:space="preserve">[Date Time]: [Action, e.g., Compromised credentials revoked]</w:t>
      </w:r>
    </w:p>
    <w:p>
      <w:pPr>
        <w:pStyle w:val="Compact"/>
        <w:numPr>
          <w:ilvl w:val="0"/>
          <w:numId w:val="1004"/>
        </w:numPr>
      </w:pPr>
      <w:r>
        <w:t xml:space="preserve">[Date Time]: [Action, e.g., Affected access pathway disabled]</w:t>
      </w:r>
    </w:p>
    <w:p>
      <w:pPr>
        <w:pStyle w:val="Compact"/>
        <w:numPr>
          <w:ilvl w:val="0"/>
          <w:numId w:val="1004"/>
        </w:numPr>
      </w:pPr>
      <w:r>
        <w:t xml:space="preserve">[Date Time]: [Action, e.g., Forensic evidence preservation initiated]</w:t>
      </w:r>
    </w:p>
    <w:p>
      <w:pPr>
        <w:pStyle w:val="FirstParagraph"/>
      </w:pPr>
      <w:r>
        <w:rPr>
          <w:b/>
          <w:bCs/>
        </w:rPr>
        <w:t xml:space="preserve">Current Containment Status</w:t>
      </w:r>
      <w:r>
        <w:t xml:space="preserve">: [Contained / Containment in progress / Active threat]</w:t>
      </w:r>
    </w:p>
    <w:p>
      <w:pPr>
        <w:pStyle w:val="BodyText"/>
      </w:pPr>
      <w:r>
        <w:rPr>
          <w:b/>
          <w:bCs/>
        </w:rPr>
        <w:t xml:space="preserve">Confirmation that Active Breach Has Stopped</w:t>
      </w:r>
      <w:r>
        <w:t xml:space="preserve">: [Confirmed at date/time / Not yet confirmed]</w:t>
      </w:r>
    </w:p>
    <w:p>
      <w:r>
        <w:pict>
          <v:rect style="width:0;height:1.5pt" o:hralign="center" o:hrstd="t" o:hr="t"/>
        </w:pict>
      </w:r>
    </w:p>
    <w:bookmarkEnd w:id="16"/>
    <w:bookmarkStart w:id="17" w:name="remediation-plan"/>
    <w:p>
      <w:pPr>
        <w:pStyle w:val="Heading2"/>
      </w:pPr>
      <w:r>
        <w:t xml:space="preserve">7. Remediation Plan</w:t>
      </w:r>
    </w:p>
    <w:p>
      <w:pPr>
        <w:pStyle w:val="FirstParagraph"/>
      </w:pPr>
      <w:r>
        <w:rPr>
          <w:b/>
          <w:bCs/>
        </w:rPr>
        <w:t xml:space="preserve">Immediate Remediation</w:t>
      </w:r>
      <w:r>
        <w:t xml:space="preserve"> </w:t>
      </w:r>
      <w:r>
        <w:t xml:space="preserve">(completed or in progress):</w:t>
      </w:r>
    </w:p>
    <w:p>
      <w:pPr>
        <w:pStyle w:val="Compact"/>
        <w:numPr>
          <w:ilvl w:val="0"/>
          <w:numId w:val="1005"/>
        </w:numPr>
      </w:pPr>
      <w:r>
        <w:t xml:space="preserve">[Action, owner, status]</w:t>
      </w:r>
    </w:p>
    <w:p>
      <w:pPr>
        <w:pStyle w:val="FirstParagraph"/>
      </w:pPr>
      <w:r>
        <w:rPr>
          <w:b/>
          <w:bCs/>
        </w:rPr>
        <w:t xml:space="preserve">Short-Term Remediation</w:t>
      </w:r>
      <w:r>
        <w:t xml:space="preserve"> </w:t>
      </w:r>
      <w:r>
        <w:t xml:space="preserve">(within 30 days):</w:t>
      </w:r>
    </w:p>
    <w:p>
      <w:pPr>
        <w:pStyle w:val="Compact"/>
        <w:numPr>
          <w:ilvl w:val="0"/>
          <w:numId w:val="1006"/>
        </w:numPr>
      </w:pPr>
      <w:r>
        <w:t xml:space="preserve">[Action, owner, target date]</w:t>
      </w:r>
    </w:p>
    <w:p>
      <w:pPr>
        <w:pStyle w:val="FirstParagraph"/>
      </w:pPr>
      <w:r>
        <w:rPr>
          <w:b/>
          <w:bCs/>
        </w:rPr>
        <w:t xml:space="preserve">Structural Remediation</w:t>
      </w:r>
      <w:r>
        <w:t xml:space="preserve"> </w:t>
      </w:r>
      <w:r>
        <w:t xml:space="preserve">(within 90 days):</w:t>
      </w:r>
    </w:p>
    <w:p>
      <w:pPr>
        <w:pStyle w:val="Compact"/>
        <w:numPr>
          <w:ilvl w:val="0"/>
          <w:numId w:val="1007"/>
        </w:numPr>
      </w:pPr>
      <w:r>
        <w:t xml:space="preserve">[Action, owner, target date]</w:t>
      </w:r>
    </w:p>
    <w:p>
      <w:pPr>
        <w:pStyle w:val="FirstParagraph"/>
      </w:pPr>
      <w:r>
        <w:rPr>
          <w:b/>
          <w:bCs/>
        </w:rPr>
        <w:t xml:space="preserve">Independent Validation of Remediation</w:t>
      </w:r>
      <w:r>
        <w:t xml:space="preserve">:</w:t>
      </w:r>
      <w:r>
        <w:t xml:space="preserve"> </w:t>
      </w:r>
      <w:r>
        <w:t xml:space="preserve">The Institution will engage [internal audit / external assessor] to validate the effectiveness of remediation and provide a validation report to the Authority within [90 days] of remediation completion.</w:t>
      </w:r>
    </w:p>
    <w:p>
      <w:r>
        <w:pict>
          <v:rect style="width:0;height:1.5pt" o:hralign="center" o:hrstd="t" o:hr="t"/>
        </w:pict>
      </w:r>
    </w:p>
    <w:bookmarkEnd w:id="17"/>
    <w:bookmarkStart w:id="18" w:name="communication-to-data-subjects"/>
    <w:p>
      <w:pPr>
        <w:pStyle w:val="Heading2"/>
      </w:pPr>
      <w:r>
        <w:t xml:space="preserve">8. Communication to Data Subjects</w:t>
      </w:r>
    </w:p>
    <w:p>
      <w:pPr>
        <w:pStyle w:val="FirstParagraph"/>
      </w:pPr>
      <w:r>
        <w:rPr>
          <w:b/>
          <w:bCs/>
        </w:rPr>
        <w:t xml:space="preserve">Decision on Data Subject Notification</w:t>
      </w:r>
      <w:r>
        <w:t xml:space="preserve">: [Notifying affected data subjects / Not notifying because risk is low / Notifying selected affected data subjects]</w:t>
      </w:r>
    </w:p>
    <w:p>
      <w:pPr>
        <w:pStyle w:val="BodyText"/>
      </w:pPr>
      <w:r>
        <w:rPr>
          <w:b/>
          <w:bCs/>
        </w:rPr>
        <w:t xml:space="preserve">Rationale for the Decision</w:t>
      </w:r>
      <w:r>
        <w:t xml:space="preserve">: [Three to five sentences explaining the decision, with reference to PDPL Article governing the decision]</w:t>
      </w:r>
    </w:p>
    <w:p>
      <w:pPr>
        <w:pStyle w:val="BodyText"/>
      </w:pPr>
      <w:r>
        <w:rPr>
          <w:b/>
          <w:bCs/>
        </w:rPr>
        <w:t xml:space="preserve">Notification Mechanism</w:t>
      </w:r>
      <w:r>
        <w:t xml:space="preserve">: [SMS / Email / Registered post / In-app notification / Telephone / Other]</w:t>
      </w:r>
    </w:p>
    <w:p>
      <w:pPr>
        <w:pStyle w:val="BodyText"/>
      </w:pPr>
      <w:r>
        <w:rPr>
          <w:b/>
          <w:bCs/>
        </w:rPr>
        <w:t xml:space="preserve">Notification Content Summary</w:t>
      </w:r>
      <w:r>
        <w:t xml:space="preserve">: [Brief description of what affected data subjects are being told]</w:t>
      </w:r>
    </w:p>
    <w:p>
      <w:pPr>
        <w:pStyle w:val="BodyText"/>
      </w:pPr>
      <w:r>
        <w:rPr>
          <w:b/>
          <w:bCs/>
        </w:rPr>
        <w:t xml:space="preserve">Notification Timeline</w:t>
      </w:r>
      <w:r>
        <w:t xml:space="preserve">: [When notifications began, when they will complete]</w:t>
      </w:r>
    </w:p>
    <w:p>
      <w:pPr>
        <w:pStyle w:val="BodyText"/>
      </w:pPr>
      <w:r>
        <w:rPr>
          <w:b/>
          <w:bCs/>
        </w:rPr>
        <w:t xml:space="preserve">Sample Data Subject Notification</w:t>
      </w:r>
      <w:r>
        <w:t xml:space="preserve">: [Attached as Annex A]</w:t>
      </w:r>
    </w:p>
    <w:p>
      <w:pPr>
        <w:pStyle w:val="BodyText"/>
      </w:pPr>
      <w:r>
        <w:rPr>
          <w:b/>
          <w:bCs/>
        </w:rPr>
        <w:t xml:space="preserve">Recourse Mechanism for Affected Data Subjects</w:t>
      </w:r>
      <w:r>
        <w:t xml:space="preserve">:</w:t>
      </w:r>
    </w:p>
    <w:p>
      <w:pPr>
        <w:pStyle w:val="Compact"/>
        <w:numPr>
          <w:ilvl w:val="0"/>
          <w:numId w:val="1008"/>
        </w:numPr>
      </w:pPr>
      <w:r>
        <w:t xml:space="preserve">Dedicated incident hotline: [Number, hours of availability]</w:t>
      </w:r>
    </w:p>
    <w:p>
      <w:pPr>
        <w:pStyle w:val="Compact"/>
        <w:numPr>
          <w:ilvl w:val="0"/>
          <w:numId w:val="1008"/>
        </w:numPr>
      </w:pPr>
      <w:r>
        <w:t xml:space="preserve">Dedicated incident email: [Email address]</w:t>
      </w:r>
    </w:p>
    <w:p>
      <w:pPr>
        <w:pStyle w:val="Compact"/>
        <w:numPr>
          <w:ilvl w:val="0"/>
          <w:numId w:val="1008"/>
        </w:numPr>
      </w:pPr>
      <w:r>
        <w:t xml:space="preserve">In-person recourse: [Branch availability if applicable]</w:t>
      </w:r>
    </w:p>
    <w:p>
      <w:pPr>
        <w:pStyle w:val="Compact"/>
        <w:numPr>
          <w:ilvl w:val="0"/>
          <w:numId w:val="1008"/>
        </w:numPr>
      </w:pPr>
      <w:r>
        <w:t xml:space="preserve">Credit monitoring or identity protection offered (where applicable): [Description]</w:t>
      </w:r>
    </w:p>
    <w:p>
      <w:r>
        <w:pict>
          <v:rect style="width:0;height:1.5pt" o:hralign="center" o:hrstd="t" o:hr="t"/>
        </w:pict>
      </w:r>
    </w:p>
    <w:bookmarkEnd w:id="18"/>
    <w:bookmarkStart w:id="19" w:name="cooperation-commitment"/>
    <w:p>
      <w:pPr>
        <w:pStyle w:val="Heading2"/>
      </w:pPr>
      <w:r>
        <w:t xml:space="preserve">9. Cooperation Commitment</w:t>
      </w:r>
    </w:p>
    <w:p>
      <w:pPr>
        <w:pStyle w:val="FirstParagraph"/>
      </w:pPr>
      <w:r>
        <w:t xml:space="preserve">The Institution commits to:</w:t>
      </w:r>
    </w:p>
    <w:p>
      <w:pPr>
        <w:pStyle w:val="Compact"/>
        <w:numPr>
          <w:ilvl w:val="0"/>
          <w:numId w:val="1009"/>
        </w:numPr>
      </w:pPr>
      <w:r>
        <w:t xml:space="preserve">Providing updates on this incident at intervals not exceeding [seven days] until incident closure</w:t>
      </w:r>
    </w:p>
    <w:p>
      <w:pPr>
        <w:pStyle w:val="Compact"/>
        <w:numPr>
          <w:ilvl w:val="0"/>
          <w:numId w:val="1009"/>
        </w:numPr>
      </w:pPr>
      <w:r>
        <w:t xml:space="preserve">Responding to Authority requests for additional information within [two business days] of request</w:t>
      </w:r>
    </w:p>
    <w:p>
      <w:pPr>
        <w:pStyle w:val="Compact"/>
        <w:numPr>
          <w:ilvl w:val="0"/>
          <w:numId w:val="1009"/>
        </w:numPr>
      </w:pPr>
      <w:r>
        <w:t xml:space="preserve">Making available the Data Protection Officer and Incident Single Point of Contact for Authority interaction throughout the incident</w:t>
      </w:r>
    </w:p>
    <w:p>
      <w:pPr>
        <w:pStyle w:val="Compact"/>
        <w:numPr>
          <w:ilvl w:val="0"/>
          <w:numId w:val="1009"/>
        </w:numPr>
      </w:pPr>
      <w:r>
        <w:t xml:space="preserve">Preserving all evidence relevant to this incident for the period the Authority directs</w:t>
      </w:r>
    </w:p>
    <w:p>
      <w:pPr>
        <w:pStyle w:val="Compact"/>
        <w:numPr>
          <w:ilvl w:val="0"/>
          <w:numId w:val="1009"/>
        </w:numPr>
      </w:pPr>
      <w:r>
        <w:t xml:space="preserve">Implementing remediation in coordination with Authority guidance</w:t>
      </w:r>
    </w:p>
    <w:p>
      <w:pPr>
        <w:pStyle w:val="FirstParagraph"/>
      </w:pPr>
      <w:r>
        <w:rPr>
          <w:b/>
          <w:bCs/>
        </w:rPr>
        <w:t xml:space="preserve">Dedicated Authority Liaison</w:t>
      </w:r>
      <w:r>
        <w:t xml:space="preserve">: [Named individual with full authority to coordinate with the Authority, with direct contact details]</w:t>
      </w:r>
    </w:p>
    <w:p>
      <w:r>
        <w:pict>
          <v:rect style="width:0;height:1.5pt" o:hralign="center" o:hrstd="t" o:hr="t"/>
        </w:pict>
      </w:r>
    </w:p>
    <w:bookmarkEnd w:id="19"/>
    <w:bookmarkStart w:id="20" w:name="next-update"/>
    <w:p>
      <w:pPr>
        <w:pStyle w:val="Heading2"/>
      </w:pPr>
      <w:r>
        <w:t xml:space="preserve">10. Next Update</w:t>
      </w:r>
    </w:p>
    <w:p>
      <w:pPr>
        <w:pStyle w:val="FirstParagraph"/>
      </w:pPr>
      <w:r>
        <w:t xml:space="preserve">The next update on this incident will be provided no later than [Date Time]. Earlier updates will be provided if material developments occur.</w:t>
      </w:r>
    </w:p>
    <w:p>
      <w:r>
        <w:pict>
          <v:rect style="width:0;height:1.5pt" o:hralign="center" o:hrstd="t" o:hr="t"/>
        </w:pict>
      </w:r>
    </w:p>
    <w:bookmarkEnd w:id="20"/>
    <w:bookmarkStart w:id="21" w:name="annexes"/>
    <w:p>
      <w:pPr>
        <w:pStyle w:val="Heading2"/>
      </w:pPr>
      <w:r>
        <w:t xml:space="preserve">11. Annexes</w:t>
      </w:r>
    </w:p>
    <w:p>
      <w:pPr>
        <w:pStyle w:val="Compact"/>
        <w:numPr>
          <w:ilvl w:val="0"/>
          <w:numId w:val="1010"/>
        </w:numPr>
      </w:pPr>
      <w:r>
        <w:t xml:space="preserve">Annex A: Sample Data Subject Notification</w:t>
      </w:r>
    </w:p>
    <w:p>
      <w:pPr>
        <w:pStyle w:val="Compact"/>
        <w:numPr>
          <w:ilvl w:val="0"/>
          <w:numId w:val="1010"/>
        </w:numPr>
      </w:pPr>
      <w:r>
        <w:t xml:space="preserve">Annex B: Affected Population Detail (by category and jurisdiction)</w:t>
      </w:r>
    </w:p>
    <w:p>
      <w:pPr>
        <w:pStyle w:val="Compact"/>
        <w:numPr>
          <w:ilvl w:val="0"/>
          <w:numId w:val="1010"/>
        </w:numPr>
      </w:pPr>
      <w:r>
        <w:t xml:space="preserve">Annex C: Containment and Remediation Timeline</w:t>
      </w:r>
    </w:p>
    <w:p>
      <w:pPr>
        <w:pStyle w:val="Compact"/>
        <w:numPr>
          <w:ilvl w:val="0"/>
          <w:numId w:val="1010"/>
        </w:numPr>
      </w:pPr>
      <w:r>
        <w:t xml:space="preserve">Annex D: Technical Forensic Summary (where appropriate to share at this stage)</w:t>
      </w:r>
    </w:p>
    <w:p>
      <w:pPr>
        <w:pStyle w:val="Compact"/>
        <w:numPr>
          <w:ilvl w:val="0"/>
          <w:numId w:val="1010"/>
        </w:numPr>
      </w:pPr>
      <w:r>
        <w:t xml:space="preserve">Annex E: Affected AI System Documentation (model card excerpt, where AI system involved)</w:t>
      </w:r>
    </w:p>
    <w:p>
      <w:r>
        <w:pict>
          <v:rect style="width:0;height:1.5pt" o:hralign="center" o:hrstd="t" o:hr="t"/>
        </w:pict>
      </w:r>
    </w:p>
    <w:bookmarkEnd w:id="21"/>
    <w:bookmarkStart w:id="22" w:name="signature"/>
    <w:p>
      <w:pPr>
        <w:pStyle w:val="Heading2"/>
      </w:pPr>
      <w:r>
        <w:t xml:space="preserve">12. Signature</w:t>
      </w:r>
    </w:p>
    <w:p>
      <w:pPr>
        <w:pStyle w:val="FirstParagraph"/>
      </w:pPr>
      <w:r>
        <w:t xml:space="preserve">This notification is submitted by the undersigned with the full authority of the Institution.</w:t>
      </w:r>
    </w:p>
    <w:p>
      <w:pPr>
        <w:pStyle w:val="BodyText"/>
      </w:pPr>
      <w:r>
        <w:rPr>
          <w:b/>
          <w:bCs/>
        </w:rPr>
        <w:t xml:space="preserve">Signature</w:t>
      </w:r>
      <w:r>
        <w:t xml:space="preserve">: ____________________</w:t>
      </w:r>
      <w:r>
        <w:t xml:space="preserve"> </w:t>
      </w:r>
      <w:r>
        <w:rPr>
          <w:b/>
          <w:bCs/>
        </w:rPr>
        <w:t xml:space="preserve">Name</w:t>
      </w:r>
      <w:r>
        <w:t xml:space="preserve">: [Full Name]</w:t>
      </w:r>
      <w:r>
        <w:t xml:space="preserve"> </w:t>
      </w:r>
      <w:r>
        <w:rPr>
          <w:b/>
          <w:bCs/>
        </w:rPr>
        <w:t xml:space="preserve">Title</w:t>
      </w:r>
      <w:r>
        <w:t xml:space="preserve">: [Title, typically Data Protection Officer or Chief Compliance Officer]</w:t>
      </w:r>
      <w:r>
        <w:t xml:space="preserve"> </w:t>
      </w:r>
      <w:r>
        <w:rPr>
          <w:b/>
          <w:bCs/>
        </w:rPr>
        <w:t xml:space="preserve">Date</w:t>
      </w:r>
      <w:r>
        <w:t xml:space="preserve">: [DD/MM/YYYY]</w:t>
      </w:r>
      <w:r>
        <w:t xml:space="preserve"> </w:t>
      </w:r>
      <w:r>
        <w:rPr>
          <w:b/>
          <w:bCs/>
        </w:rPr>
        <w:t xml:space="preserve">Place</w:t>
      </w:r>
      <w:r>
        <w:t xml:space="preserve">: [City, Country]</w:t>
      </w:r>
    </w:p>
    <w:p>
      <w:pPr>
        <w:pStyle w:val="BodyText"/>
      </w:pPr>
      <w:r>
        <w:rPr>
          <w:b/>
          <w:bCs/>
        </w:rPr>
        <w:t xml:space="preserve">Acknowledgment Requested</w:t>
      </w:r>
      <w:r>
        <w:t xml:space="preserve">: We respectfully request acknowledgment of receipt of this notification with the Authority reference number assigned, to enable our incident documentation and subsequent updates.</w:t>
      </w:r>
    </w:p>
    <w:p>
      <w:r>
        <w:pict>
          <v:rect style="width:0;height:1.5pt" o:hralign="center" o:hrstd="t" o:hr="t"/>
        </w:pict>
      </w:r>
    </w:p>
    <w:p>
      <w:pPr>
        <w:pStyle w:val="FirstParagraph"/>
      </w:pPr>
      <w:r>
        <w:rPr>
          <w:b/>
          <w:bCs/>
        </w:rPr>
        <w:t xml:space="preserve">End of Regulatory Notification Template.</w:t>
      </w:r>
    </w:p>
    <w:p>
      <w:pPr>
        <w:pStyle w:val="BodyText"/>
      </w:pPr>
      <w:r>
        <w:rPr>
          <w:b/>
          <w:bCs/>
        </w:rPr>
        <w:t xml:space="preserve">Usage Notes</w:t>
      </w:r>
      <w:r>
        <w:t xml:space="preserve">: Regulators receive better treatment from institutions that communicate within the deadline than from institutions that communicate complete information after the deadline. Notify within the deadline with what is known, with explicit commitment to update as investigation progresses. The discipline is to populate the notification template within the first 24 hours of incident discovery so the institution is positioned to notify within the statutory deadline (typically 72 hours under PDPL) even if investigation is incomplete.</w:t>
      </w:r>
    </w:p>
    <w:p>
      <w:pPr>
        <w:pStyle w:val="BodyText"/>
      </w:pPr>
      <w:r>
        <w:t xml:space="preserve">The template adapts to other regulatory frameworks (CBUAE sectoral notifications, SAMA notifications, AAOIFI Sharia incident notifications) by substituting jurisdictional citations and adjusting Section 2 statutory basis references. The core structure remains constant because the regulatory expectation across frameworks remains constant: notify promptly, factually, with named contact and committed update cadence.</w:t>
      </w:r>
    </w:p>
    <w:p>
      <w:r>
        <w:pict>
          <v:rect style="width:0;height:1.5pt" o:hralign="center" o:hrstd="t" o:hr="t"/>
        </w:pict>
      </w:r>
    </w:p>
    <w:bookmarkEnd w:id="22"/>
    <w:bookmarkEnd w:id="2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2026-08-23T00:18:43Z</dcterms:created>
  <dcterms:modified xsi:type="dcterms:W3CDTF">2026-08-23T00:18:43Z</dcterms:modified>
</cp:coreProperties>
</file>

<file path=docProps/custom.xml><?xml version="1.0" encoding="utf-8"?>
<Properties xmlns="http://schemas.openxmlformats.org/officeDocument/2006/custom-properties" xmlns:vt="http://schemas.openxmlformats.org/officeDocument/2006/docPropsVTypes"/>
</file>