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sdt>
      <w:sdtPr>
        <w:docPartObj>
          <w:docPartGallery w:val="Table of Contents"/>
          <w:docPartUnique/>
        </w:docPartObj>
      </w:sdtPr>
      <w:sdtContent>
        <w:p>
          <w:pPr>
            <w:pStyle w:val="TOCHeading"/>
          </w:pPr>
          <w:r>
            <w:t xml:space="preserve">Table of Contents</w:t>
          </w:r>
        </w:p>
        <w:p>
          <w:r>
            <w:fldChar w:fldCharType="begin" w:dirty="true"/>
            <w:instrText xml:space="preserve">TOC \o "1-2" \h \z \u</w:instrText>
            <w:fldChar w:fldCharType="separate"/>
            <w:fldChar w:fldCharType="end"/>
          </w:r>
        </w:p>
      </w:sdtContent>
    </w:sdt>
    <w:bookmarkStart w:id="9" w:name="X4864fb78efdbe467359eab726b3a5cffed9eafa"/>
    <w:p>
      <w:pPr>
        <w:pStyle w:val="Heading1"/>
      </w:pPr>
      <w:r>
        <w:t xml:space="preserve">Incident Response Runbook: Bias Detected in Production</w:t>
      </w:r>
    </w:p>
    <w:p>
      <w:pPr>
        <w:pStyle w:val="FirstParagraph"/>
      </w:pPr>
      <w:r>
        <w:t xml:space="preserve">Template 30 of the companion set. Extracted from</w:t>
      </w:r>
      <w:r>
        <w:t xml:space="preserve"> </w:t>
      </w:r>
      <w:r>
        <w:rPr>
          <w:i/>
          <w:iCs/>
        </w:rPr>
        <w:t xml:space="preserve">AI Governance &amp; Compliance Frameworks for the Middle East: The Enterprise Playbook</w:t>
      </w:r>
      <w:r>
        <w:t xml:space="preserve"> </w:t>
      </w:r>
      <w:r>
        <w:t xml:space="preserve">by Dr. Nabeel A. Khan (iSystematic Inc., 2026). The full set is at nabeelkhan.com/ai-governance.</w:t>
      </w:r>
    </w:p>
    <w:p>
      <w:pPr>
        <w:pStyle w:val="BodyText"/>
      </w:pPr>
      <w:r>
        <w:rPr>
          <w:b/>
          <w:bCs/>
        </w:rPr>
        <w:t xml:space="preserve">Purpose.</w:t>
      </w:r>
      <w:r>
        <w:t xml:space="preserve"> </w:t>
      </w:r>
      <w:r>
        <w:t xml:space="preserve">Document the step-by-step institutional response when bias is detected in a production AI model.</w:t>
      </w:r>
    </w:p>
    <w:p>
      <w:pPr>
        <w:pStyle w:val="BodyText"/>
      </w:pPr>
      <w:r>
        <w:rPr>
          <w:b/>
          <w:bCs/>
        </w:rPr>
        <w:t xml:space="preserve">When to use.</w:t>
      </w:r>
      <w:r>
        <w:t xml:space="preserve"> </w:t>
      </w:r>
      <w:r>
        <w:t xml:space="preserve">When monitoring, audit, customer complaint, or external research surfaces evidence that a production model produces materially disparate outcomes across a protected attribute.</w:t>
      </w:r>
    </w:p>
    <w:p>
      <w:pPr>
        <w:pStyle w:val="BodyText"/>
      </w:pPr>
      <w:r>
        <w:rPr>
          <w:b/>
          <w:bCs/>
        </w:rPr>
        <w:t xml:space="preserve">Where the book explains it.</w:t>
      </w:r>
      <w:r>
        <w:t xml:space="preserve"> </w:t>
      </w:r>
      <w:r>
        <w:t xml:space="preserve">Operationalizes the seven-phase incident protocol Chapter 15 specifies, instantiated for bias incidents.</w:t>
      </w:r>
    </w:p>
    <w:p>
      <w:pPr>
        <w:pStyle w:val="BodyText"/>
      </w:pPr>
      <w:r>
        <w:rPr>
          <w:b/>
          <w:bCs/>
        </w:rPr>
        <w:t xml:space="preserve">How to work with this file.</w:t>
      </w:r>
      <w:r>
        <w:t xml:space="preserve"> </w:t>
      </w:r>
      <w:r>
        <w:t xml:space="preserve">Anything in square brackets is a field for you to complete. Sections you genuinely do not need should be marked not applicable with a reason rather than deleted, because an omission and a considered exclusion look identical to an examiner six months later.</w:t>
      </w:r>
    </w:p>
    <w:p>
      <w:pPr>
        <w:pStyle w:val="BodyText"/>
      </w:pPr>
      <w:r>
        <w:t xml:space="preserve">Licensed under the Companion Working Files Licence 1.0 (nabeelkhan.com/terms#companion-files). You may complete, adapt and use this file inside your own organisation, including commercially, and you may have an AI assistant help you complete it. You may not sell it, or republish it as a template set. Keep this credit line in the document.</w:t>
      </w:r>
    </w:p>
    <w:bookmarkEnd w:id="9"/>
    <w:bookmarkStart w:id="25" w:name="runbook-bias-detected-in-production"/>
    <w:p>
      <w:pPr>
        <w:pStyle w:val="Heading1"/>
      </w:pPr>
      <w:r>
        <w:t xml:space="preserve">RUNBOOK: BIAS DETECTED IN PRODUCTION</w:t>
      </w:r>
    </w:p>
    <w:p>
      <w:pPr>
        <w:pStyle w:val="FirstParagraph"/>
      </w:pPr>
      <w:r>
        <w:rPr>
          <w:b/>
          <w:bCs/>
        </w:rPr>
        <w:t xml:space="preserve">Document Reference</w:t>
      </w:r>
      <w:r>
        <w:t xml:space="preserve">: AIR-RBK-BIAS-001</w:t>
      </w:r>
      <w:r>
        <w:t xml:space="preserve"> </w:t>
      </w:r>
      <w:r>
        <w:rPr>
          <w:b/>
          <w:bCs/>
        </w:rPr>
        <w:t xml:space="preserve">Version</w:t>
      </w:r>
      <w:r>
        <w:t xml:space="preserve">: 1.0</w:t>
      </w:r>
      <w:r>
        <w:t xml:space="preserve"> </w:t>
      </w:r>
      <w:r>
        <w:rPr>
          <w:b/>
          <w:bCs/>
        </w:rPr>
        <w:t xml:space="preserve">Owner</w:t>
      </w:r>
      <w:r>
        <w:t xml:space="preserve">: Head of AI Incident Response</w:t>
      </w:r>
      <w:r>
        <w:t xml:space="preserve"> </w:t>
      </w:r>
      <w:r>
        <w:rPr>
          <w:b/>
          <w:bCs/>
        </w:rPr>
        <w:t xml:space="preserve">Approver</w:t>
      </w:r>
      <w:r>
        <w:t xml:space="preserve">: AI Governance Committee</w:t>
      </w:r>
      <w:r>
        <w:t xml:space="preserve"> </w:t>
      </w:r>
      <w:r>
        <w:rPr>
          <w:b/>
          <w:bCs/>
        </w:rPr>
        <w:t xml:space="preserve">Exercise Cadence</w:t>
      </w:r>
      <w:r>
        <w:t xml:space="preserve">: Quarterly simulation</w:t>
      </w:r>
    </w:p>
    <w:p>
      <w:r>
        <w:pict>
          <v:rect style="width:0;height:1.5pt" o:hralign="center" o:hrstd="t" o:hr="t"/>
        </w:pict>
      </w:r>
    </w:p>
    <w:bookmarkStart w:id="10" w:name="X4a870c6e5ae471f29c702a00c4549ff6dfb3497"/>
    <w:p>
      <w:pPr>
        <w:pStyle w:val="Heading2"/>
      </w:pPr>
      <w:r>
        <w:t xml:space="preserve">Phase 0: Detection Triage (First 30 Minutes)</w:t>
      </w:r>
    </w:p>
    <w:p>
      <w:pPr>
        <w:pStyle w:val="FirstParagraph"/>
      </w:pPr>
      <w:r>
        <w:rPr>
          <w:b/>
          <w:bCs/>
        </w:rPr>
        <w:t xml:space="preserve">Step 0.1</w:t>
      </w:r>
      <w:r>
        <w:t xml:space="preserve">: On-call AI Incident Commander confirms the alert source:</w:t>
      </w:r>
    </w:p>
    <w:p>
      <w:pPr>
        <w:pStyle w:val="Compact"/>
        <w:numPr>
          <w:ilvl w:val="0"/>
          <w:numId w:val="1001"/>
        </w:numPr>
      </w:pPr>
      <w:r>
        <w:t xml:space="preserve">Monitoring system alert (drift detector, bias monitor)</w:t>
      </w:r>
    </w:p>
    <w:p>
      <w:pPr>
        <w:pStyle w:val="Compact"/>
        <w:numPr>
          <w:ilvl w:val="0"/>
          <w:numId w:val="1001"/>
        </w:numPr>
      </w:pPr>
      <w:r>
        <w:t xml:space="preserve">Internal audit finding</w:t>
      </w:r>
    </w:p>
    <w:p>
      <w:pPr>
        <w:pStyle w:val="Compact"/>
        <w:numPr>
          <w:ilvl w:val="0"/>
          <w:numId w:val="1001"/>
        </w:numPr>
      </w:pPr>
      <w:r>
        <w:t xml:space="preserve">Customer complaint pattern</w:t>
      </w:r>
    </w:p>
    <w:p>
      <w:pPr>
        <w:pStyle w:val="Compact"/>
        <w:numPr>
          <w:ilvl w:val="0"/>
          <w:numId w:val="1001"/>
        </w:numPr>
      </w:pPr>
      <w:r>
        <w:t xml:space="preserve">External research publication</w:t>
      </w:r>
    </w:p>
    <w:p>
      <w:pPr>
        <w:pStyle w:val="Compact"/>
        <w:numPr>
          <w:ilvl w:val="0"/>
          <w:numId w:val="1001"/>
        </w:numPr>
      </w:pPr>
      <w:r>
        <w:t xml:space="preserve">Regulatory inquiry</w:t>
      </w:r>
    </w:p>
    <w:p>
      <w:pPr>
        <w:pStyle w:val="Compact"/>
        <w:numPr>
          <w:ilvl w:val="0"/>
          <w:numId w:val="1001"/>
        </w:numPr>
      </w:pPr>
      <w:r>
        <w:t xml:space="preserve">Vendor notification</w:t>
      </w:r>
    </w:p>
    <w:p>
      <w:pPr>
        <w:pStyle w:val="FirstParagraph"/>
      </w:pPr>
      <w:r>
        <w:rPr>
          <w:b/>
          <w:bCs/>
        </w:rPr>
        <w:t xml:space="preserve">Step 0.2</w:t>
      </w:r>
      <w:r>
        <w:t xml:space="preserve">: Confirm the alert is not a known false positive. Cross-reference with the false-positive register.</w:t>
      </w:r>
    </w:p>
    <w:p>
      <w:pPr>
        <w:pStyle w:val="BodyText"/>
      </w:pPr>
      <w:r>
        <w:rPr>
          <w:b/>
          <w:bCs/>
        </w:rPr>
        <w:t xml:space="preserve">Step 0.3</w:t>
      </w:r>
      <w:r>
        <w:t xml:space="preserve">: Identify the affected model. Reference model card (Template 11) and model inventory (Template 14).</w:t>
      </w:r>
    </w:p>
    <w:p>
      <w:pPr>
        <w:pStyle w:val="BodyText"/>
      </w:pPr>
      <w:r>
        <w:rPr>
          <w:b/>
          <w:bCs/>
        </w:rPr>
        <w:t xml:space="preserve">Step 0.4</w:t>
      </w:r>
      <w:r>
        <w:t xml:space="preserve">: Provisional severity classification using Template 29. Bias incidents with regulatory exposure default to P1 minimum.</w:t>
      </w:r>
    </w:p>
    <w:p>
      <w:pPr>
        <w:pStyle w:val="BodyText"/>
      </w:pPr>
      <w:r>
        <w:rPr>
          <w:b/>
          <w:bCs/>
        </w:rPr>
        <w:t xml:space="preserve">Step 0.5</w:t>
      </w:r>
      <w:r>
        <w:t xml:space="preserve">: Open incident record. Assign incident ID. Start decision log.</w:t>
      </w:r>
    </w:p>
    <w:p>
      <w:pPr>
        <w:pStyle w:val="BodyText"/>
      </w:pPr>
      <w:r>
        <w:rPr>
          <w:b/>
          <w:bCs/>
        </w:rPr>
        <w:t xml:space="preserve">Step 0.6</w:t>
      </w:r>
      <w:r>
        <w:t xml:space="preserve">: Notify Head of AI Incident Response within 30 minutes.</w:t>
      </w:r>
    </w:p>
    <w:p>
      <w:r>
        <w:pict>
          <v:rect style="width:0;height:1.5pt" o:hralign="center" o:hrstd="t" o:hr="t"/>
        </w:pict>
      </w:r>
    </w:p>
    <w:bookmarkEnd w:id="10"/>
    <w:bookmarkStart w:id="11" w:name="phase-1-first-hour-actions"/>
    <w:p>
      <w:pPr>
        <w:pStyle w:val="Heading2"/>
      </w:pPr>
      <w:r>
        <w:t xml:space="preserve">Phase 1: First Hour Actions</w:t>
      </w:r>
    </w:p>
    <w:p>
      <w:pPr>
        <w:pStyle w:val="FirstParagraph"/>
      </w:pPr>
      <w:r>
        <w:rPr>
          <w:b/>
          <w:bCs/>
        </w:rPr>
        <w:t xml:space="preserve">Step 1.1</w:t>
      </w:r>
      <w:r>
        <w:t xml:space="preserve">: Independent calculation of the disparity. Do not rely solely on the alert source. The on-call validator runs an independent calculation against the most recent production sample.</w:t>
      </w:r>
    </w:p>
    <w:p>
      <w:pPr>
        <w:pStyle w:val="BodyText"/>
      </w:pPr>
      <w:r>
        <w:rPr>
          <w:b/>
          <w:bCs/>
        </w:rPr>
        <w:t xml:space="preserve">Step 1.2</w:t>
      </w:r>
      <w:r>
        <w:t xml:space="preserve">: Confirm the disparity is statistically significant. Use the institutional fairness metric thresholds from Template 13. If the disparity is within natural variation, downgrade severity per Template 29 override protocol.</w:t>
      </w:r>
    </w:p>
    <w:p>
      <w:pPr>
        <w:pStyle w:val="BodyText"/>
      </w:pPr>
      <w:r>
        <w:rPr>
          <w:b/>
          <w:bCs/>
        </w:rPr>
        <w:t xml:space="preserve">Step 1.3</w:t>
      </w:r>
      <w:r>
        <w:t xml:space="preserve">: Identify the protected attribute affected and its jurisdictional basis. Cite the specific PDPL article, AAOIFI standard, or sectoral regulation.</w:t>
      </w:r>
    </w:p>
    <w:p>
      <w:pPr>
        <w:pStyle w:val="BodyText"/>
      </w:pPr>
      <w:r>
        <w:rPr>
          <w:b/>
          <w:bCs/>
        </w:rPr>
        <w:t xml:space="preserve">Step 1.4</w:t>
      </w:r>
      <w:r>
        <w:t xml:space="preserve">: Assess immediate scope:</w:t>
      </w:r>
    </w:p>
    <w:p>
      <w:pPr>
        <w:pStyle w:val="Compact"/>
        <w:numPr>
          <w:ilvl w:val="0"/>
          <w:numId w:val="1002"/>
        </w:numPr>
      </w:pPr>
      <w:r>
        <w:t xml:space="preserve">How many customers affected in the prior 24 hours?</w:t>
      </w:r>
    </w:p>
    <w:p>
      <w:pPr>
        <w:pStyle w:val="Compact"/>
        <w:numPr>
          <w:ilvl w:val="0"/>
          <w:numId w:val="1002"/>
        </w:numPr>
      </w:pPr>
      <w:r>
        <w:t xml:space="preserve">How many customers affected since last bias audit?</w:t>
      </w:r>
    </w:p>
    <w:p>
      <w:pPr>
        <w:pStyle w:val="Compact"/>
        <w:numPr>
          <w:ilvl w:val="0"/>
          <w:numId w:val="1002"/>
        </w:numPr>
      </w:pPr>
      <w:r>
        <w:t xml:space="preserve">Is the model still producing decisions?</w:t>
      </w:r>
    </w:p>
    <w:p>
      <w:pPr>
        <w:pStyle w:val="Compact"/>
        <w:numPr>
          <w:ilvl w:val="0"/>
          <w:numId w:val="1002"/>
        </w:numPr>
      </w:pPr>
      <w:r>
        <w:t xml:space="preserve">Is the disparity present in the most recent decisions?</w:t>
      </w:r>
    </w:p>
    <w:p>
      <w:pPr>
        <w:pStyle w:val="FirstParagraph"/>
      </w:pPr>
      <w:r>
        <w:rPr>
          <w:b/>
          <w:bCs/>
        </w:rPr>
        <w:t xml:space="preserve">Step 1.5</w:t>
      </w:r>
      <w:r>
        <w:t xml:space="preserve">: Notify Head of AI Governance Office, Chief Risk Officer, Ethics Committee Chair (for tier-one models).</w:t>
      </w:r>
    </w:p>
    <w:p>
      <w:pPr>
        <w:pStyle w:val="BodyText"/>
      </w:pPr>
      <w:r>
        <w:rPr>
          <w:b/>
          <w:bCs/>
        </w:rPr>
        <w:t xml:space="preserve">Step 1.6</w:t>
      </w:r>
      <w:r>
        <w:t xml:space="preserve">: Document the first hour in the decision log.</w:t>
      </w:r>
    </w:p>
    <w:p>
      <w:r>
        <w:pict>
          <v:rect style="width:0;height:1.5pt" o:hralign="center" o:hrstd="t" o:hr="t"/>
        </w:pict>
      </w:r>
    </w:p>
    <w:bookmarkEnd w:id="11"/>
    <w:bookmarkStart w:id="12" w:name="X432e7ae5a8087d5a0533557bb165071286a1c98"/>
    <w:p>
      <w:pPr>
        <w:pStyle w:val="Heading2"/>
      </w:pPr>
      <w:r>
        <w:t xml:space="preserve">Phase 2: First Four Hours, Containment Decision</w:t>
      </w:r>
    </w:p>
    <w:p>
      <w:pPr>
        <w:pStyle w:val="FirstParagraph"/>
      </w:pPr>
      <w:r>
        <w:rPr>
          <w:b/>
          <w:bCs/>
        </w:rPr>
        <w:t xml:space="preserve">Step 2.1</w:t>
      </w:r>
      <w:r>
        <w:t xml:space="preserve">: Convene the containment decision meeting. Required attendees:</w:t>
      </w:r>
    </w:p>
    <w:p>
      <w:pPr>
        <w:pStyle w:val="Compact"/>
        <w:numPr>
          <w:ilvl w:val="0"/>
          <w:numId w:val="1003"/>
        </w:numPr>
      </w:pPr>
      <w:r>
        <w:t xml:space="preserve">AI Incident Commander</w:t>
      </w:r>
    </w:p>
    <w:p>
      <w:pPr>
        <w:pStyle w:val="Compact"/>
        <w:numPr>
          <w:ilvl w:val="0"/>
          <w:numId w:val="1003"/>
        </w:numPr>
      </w:pPr>
      <w:r>
        <w:t xml:space="preserve">Head of AI Incident Response</w:t>
      </w:r>
    </w:p>
    <w:p>
      <w:pPr>
        <w:pStyle w:val="Compact"/>
        <w:numPr>
          <w:ilvl w:val="0"/>
          <w:numId w:val="1003"/>
        </w:numPr>
      </w:pPr>
      <w:r>
        <w:t xml:space="preserve">Head of Model Validation</w:t>
      </w:r>
    </w:p>
    <w:p>
      <w:pPr>
        <w:pStyle w:val="Compact"/>
        <w:numPr>
          <w:ilvl w:val="0"/>
          <w:numId w:val="1003"/>
        </w:numPr>
      </w:pPr>
      <w:r>
        <w:t xml:space="preserve">Model Owner</w:t>
      </w:r>
    </w:p>
    <w:p>
      <w:pPr>
        <w:pStyle w:val="Compact"/>
        <w:numPr>
          <w:ilvl w:val="0"/>
          <w:numId w:val="1003"/>
        </w:numPr>
      </w:pPr>
      <w:r>
        <w:t xml:space="preserve">General Counsel</w:t>
      </w:r>
    </w:p>
    <w:p>
      <w:pPr>
        <w:pStyle w:val="Compact"/>
        <w:numPr>
          <w:ilvl w:val="0"/>
          <w:numId w:val="1003"/>
        </w:numPr>
      </w:pPr>
      <w:r>
        <w:t xml:space="preserve">Ethics Committee Chair (tier-one models)</w:t>
      </w:r>
    </w:p>
    <w:p>
      <w:pPr>
        <w:pStyle w:val="Compact"/>
        <w:numPr>
          <w:ilvl w:val="0"/>
          <w:numId w:val="1003"/>
        </w:numPr>
      </w:pPr>
      <w:r>
        <w:t xml:space="preserve">Sharia Advisor (Islamic finance institutions, if relevant)</w:t>
      </w:r>
    </w:p>
    <w:p>
      <w:pPr>
        <w:pStyle w:val="FirstParagraph"/>
      </w:pPr>
      <w:r>
        <w:rPr>
          <w:b/>
          <w:bCs/>
        </w:rPr>
        <w:t xml:space="preserve">Step 2.2</w:t>
      </w:r>
      <w:r>
        <w:t xml:space="preserve">: Evaluate containment options:</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Option</w:t>
            </w:r>
          </w:p>
        </w:tc>
        <w:tc>
          <w:tcPr/>
          <w:p>
            <w:pPr>
              <w:pStyle w:val="Compact"/>
            </w:pPr>
            <w:r>
              <w:t xml:space="preserve">Description</w:t>
            </w:r>
          </w:p>
        </w:tc>
        <w:tc>
          <w:tcPr/>
          <w:p>
            <w:pPr>
              <w:pStyle w:val="Compact"/>
            </w:pPr>
            <w:r>
              <w:t xml:space="preserve">When Appropriate</w:t>
            </w:r>
          </w:p>
        </w:tc>
      </w:tr>
      <w:tr>
        <w:tc>
          <w:tcPr/>
          <w:p>
            <w:pPr>
              <w:pStyle w:val="Compact"/>
            </w:pPr>
            <w:r>
              <w:t xml:space="preserve">Suspend the model</w:t>
            </w:r>
          </w:p>
        </w:tc>
        <w:tc>
          <w:tcPr/>
          <w:p>
            <w:pPr>
              <w:pStyle w:val="Compact"/>
            </w:pPr>
            <w:r>
              <w:t xml:space="preserve">Disable customer-facing decisions, route to fallback rule</w:t>
            </w:r>
          </w:p>
        </w:tc>
        <w:tc>
          <w:tcPr/>
          <w:p>
            <w:pPr>
              <w:pStyle w:val="Compact"/>
            </w:pPr>
            <w:r>
              <w:t xml:space="preserve">High-severity disparity with confirmed customer harm</w:t>
            </w:r>
          </w:p>
        </w:tc>
      </w:tr>
      <w:tr>
        <w:tc>
          <w:tcPr/>
          <w:p>
            <w:pPr>
              <w:pStyle w:val="Compact"/>
            </w:pPr>
            <w:r>
              <w:t xml:space="preserve">Throttle the model</w:t>
            </w:r>
          </w:p>
        </w:tc>
        <w:tc>
          <w:tcPr/>
          <w:p>
            <w:pPr>
              <w:pStyle w:val="Compact"/>
            </w:pPr>
            <w:r>
              <w:t xml:space="preserve">Reduce traffic, route portion to human review</w:t>
            </w:r>
          </w:p>
        </w:tc>
        <w:tc>
          <w:tcPr/>
          <w:p>
            <w:pPr>
              <w:pStyle w:val="Compact"/>
            </w:pPr>
            <w:r>
              <w:t xml:space="preserve">Significant disparity warranting reduced exposure</w:t>
            </w:r>
          </w:p>
        </w:tc>
      </w:tr>
      <w:tr>
        <w:tc>
          <w:tcPr/>
          <w:p>
            <w:pPr>
              <w:pStyle w:val="Compact"/>
            </w:pPr>
            <w:r>
              <w:t xml:space="preserve">Continue with enhanced monitoring</w:t>
            </w:r>
          </w:p>
        </w:tc>
        <w:tc>
          <w:tcPr/>
          <w:p>
            <w:pPr>
              <w:pStyle w:val="Compact"/>
            </w:pPr>
            <w:r>
              <w:t xml:space="preserve">Maintain operation with intensified monitoring</w:t>
            </w:r>
          </w:p>
        </w:tc>
        <w:tc>
          <w:tcPr/>
          <w:p>
            <w:pPr>
              <w:pStyle w:val="Compact"/>
            </w:pPr>
            <w:r>
              <w:t xml:space="preserve">Lower-severity disparity, mitigation in progress</w:t>
            </w:r>
          </w:p>
        </w:tc>
      </w:tr>
      <w:tr>
        <w:tc>
          <w:tcPr/>
          <w:p>
            <w:pPr>
              <w:pStyle w:val="Compact"/>
            </w:pPr>
            <w:r>
              <w:t xml:space="preserve">Continue with mitigation in flight</w:t>
            </w:r>
          </w:p>
        </w:tc>
        <w:tc>
          <w:tcPr/>
          <w:p>
            <w:pPr>
              <w:pStyle w:val="Compact"/>
            </w:pPr>
            <w:r>
              <w:t xml:space="preserve">Maintain operation, apply post-processing mitigation</w:t>
            </w:r>
          </w:p>
        </w:tc>
        <w:tc>
          <w:tcPr/>
          <w:p>
            <w:pPr>
              <w:pStyle w:val="Compact"/>
            </w:pPr>
            <w:r>
              <w:t xml:space="preserve">Disparity addressable through threshold adjustment</w:t>
            </w:r>
          </w:p>
        </w:tc>
      </w:tr>
    </w:tbl>
    <w:p>
      <w:pPr>
        <w:pStyle w:val="BodyText"/>
      </w:pPr>
      <w:r>
        <w:rPr>
          <w:b/>
          <w:bCs/>
        </w:rPr>
        <w:t xml:space="preserve">Step 2.3</w:t>
      </w:r>
      <w:r>
        <w:t xml:space="preserve">: Document the containment decision with rationale, decision-makers present, and dissent if any. Tier-one model containment decisions to continue operation require unanimous attendee approval.</w:t>
      </w:r>
    </w:p>
    <w:p>
      <w:pPr>
        <w:pStyle w:val="BodyText"/>
      </w:pPr>
      <w:r>
        <w:rPr>
          <w:b/>
          <w:bCs/>
        </w:rPr>
        <w:t xml:space="preserve">Step 2.4</w:t>
      </w:r>
      <w:r>
        <w:t xml:space="preserve">: Execute the containment action. Verify execution.</w:t>
      </w:r>
    </w:p>
    <w:p>
      <w:pPr>
        <w:pStyle w:val="BodyText"/>
      </w:pPr>
      <w:r>
        <w:rPr>
          <w:b/>
          <w:bCs/>
        </w:rPr>
        <w:t xml:space="preserve">Step 2.5</w:t>
      </w:r>
      <w:r>
        <w:t xml:space="preserve">: Notify affected business unit head and Chief Customer Officer.</w:t>
      </w:r>
    </w:p>
    <w:p>
      <w:r>
        <w:pict>
          <v:rect style="width:0;height:1.5pt" o:hralign="center" o:hrstd="t" o:hr="t"/>
        </w:pict>
      </w:r>
    </w:p>
    <w:bookmarkEnd w:id="12"/>
    <w:bookmarkStart w:id="13" w:name="phase-3-first-24-hours-investigation"/>
    <w:p>
      <w:pPr>
        <w:pStyle w:val="Heading2"/>
      </w:pPr>
      <w:r>
        <w:t xml:space="preserve">Phase 3: First 24 Hours, Investigation</w:t>
      </w:r>
    </w:p>
    <w:p>
      <w:pPr>
        <w:pStyle w:val="FirstParagraph"/>
      </w:pPr>
      <w:r>
        <w:rPr>
          <w:b/>
          <w:bCs/>
        </w:rPr>
        <w:t xml:space="preserve">Step 3.1</w:t>
      </w:r>
      <w:r>
        <w:t xml:space="preserve">: Convene the investigation team. The team excludes the model's original developer.</w:t>
      </w:r>
    </w:p>
    <w:p>
      <w:pPr>
        <w:pStyle w:val="BodyText"/>
      </w:pPr>
      <w:r>
        <w:rPr>
          <w:b/>
          <w:bCs/>
        </w:rPr>
        <w:t xml:space="preserve">Step 3.2</w:t>
      </w:r>
      <w:r>
        <w:t xml:space="preserve">: Determine investigation scope:</w:t>
      </w:r>
    </w:p>
    <w:p>
      <w:pPr>
        <w:pStyle w:val="Compact"/>
        <w:numPr>
          <w:ilvl w:val="0"/>
          <w:numId w:val="1004"/>
        </w:numPr>
      </w:pPr>
      <w:r>
        <w:t xml:space="preserve">Is the disparity causally attributable to the model, or is it the underlying population reality reflected accurately?</w:t>
      </w:r>
    </w:p>
    <w:p>
      <w:pPr>
        <w:pStyle w:val="Compact"/>
        <w:numPr>
          <w:ilvl w:val="0"/>
          <w:numId w:val="1004"/>
        </w:numPr>
      </w:pPr>
      <w:r>
        <w:t xml:space="preserve">Did the disparity exist at validation, or did it emerge in production?</w:t>
      </w:r>
    </w:p>
    <w:p>
      <w:pPr>
        <w:pStyle w:val="Compact"/>
        <w:numPr>
          <w:ilvl w:val="0"/>
          <w:numId w:val="1004"/>
        </w:numPr>
      </w:pPr>
      <w:r>
        <w:t xml:space="preserve">What changed (data, model, deployment) before the disparity appeared?</w:t>
      </w:r>
    </w:p>
    <w:p>
      <w:pPr>
        <w:pStyle w:val="Compact"/>
        <w:numPr>
          <w:ilvl w:val="0"/>
          <w:numId w:val="1004"/>
        </w:numPr>
      </w:pPr>
      <w:r>
        <w:t xml:space="preserve">What is the customer harm pattern?</w:t>
      </w:r>
    </w:p>
    <w:p>
      <w:pPr>
        <w:pStyle w:val="FirstParagraph"/>
      </w:pPr>
      <w:r>
        <w:rPr>
          <w:b/>
          <w:bCs/>
        </w:rPr>
        <w:t xml:space="preserve">Step 3.3</w:t>
      </w:r>
      <w:r>
        <w:t xml:space="preserve">: Preserve evidence:</w:t>
      </w:r>
    </w:p>
    <w:p>
      <w:pPr>
        <w:pStyle w:val="Compact"/>
        <w:numPr>
          <w:ilvl w:val="0"/>
          <w:numId w:val="1005"/>
        </w:numPr>
      </w:pPr>
      <w:r>
        <w:t xml:space="preserve">Inference logs for the affected period</w:t>
      </w:r>
    </w:p>
    <w:p>
      <w:pPr>
        <w:pStyle w:val="Compact"/>
        <w:numPr>
          <w:ilvl w:val="0"/>
          <w:numId w:val="1005"/>
        </w:numPr>
      </w:pPr>
      <w:r>
        <w:t xml:space="preserve">Model artifacts as deployed</w:t>
      </w:r>
    </w:p>
    <w:p>
      <w:pPr>
        <w:pStyle w:val="Compact"/>
        <w:numPr>
          <w:ilvl w:val="0"/>
          <w:numId w:val="1005"/>
        </w:numPr>
      </w:pPr>
      <w:r>
        <w:t xml:space="preserve">Training data snapshot</w:t>
      </w:r>
    </w:p>
    <w:p>
      <w:pPr>
        <w:pStyle w:val="Compact"/>
        <w:numPr>
          <w:ilvl w:val="0"/>
          <w:numId w:val="1005"/>
        </w:numPr>
      </w:pPr>
      <w:r>
        <w:t xml:space="preserve">Validation report and bias audit report</w:t>
      </w:r>
    </w:p>
    <w:p>
      <w:pPr>
        <w:pStyle w:val="Compact"/>
        <w:numPr>
          <w:ilvl w:val="0"/>
          <w:numId w:val="1005"/>
        </w:numPr>
      </w:pPr>
      <w:r>
        <w:t xml:space="preserve">Drift monitoring history</w:t>
      </w:r>
    </w:p>
    <w:p>
      <w:pPr>
        <w:pStyle w:val="Compact"/>
        <w:numPr>
          <w:ilvl w:val="0"/>
          <w:numId w:val="1005"/>
        </w:numPr>
      </w:pPr>
      <w:r>
        <w:t xml:space="preserve">Deployment configuration history</w:t>
      </w:r>
    </w:p>
    <w:p>
      <w:pPr>
        <w:pStyle w:val="FirstParagraph"/>
      </w:pPr>
      <w:r>
        <w:rPr>
          <w:b/>
          <w:bCs/>
        </w:rPr>
        <w:t xml:space="preserve">Step 3.4</w:t>
      </w:r>
      <w:r>
        <w:t xml:space="preserve">: Initial root cause hypothesis within 12 hours.</w:t>
      </w:r>
    </w:p>
    <w:p>
      <w:pPr>
        <w:pStyle w:val="BodyText"/>
      </w:pPr>
      <w:r>
        <w:rPr>
          <w:b/>
          <w:bCs/>
        </w:rPr>
        <w:t xml:space="preserve">Step 3.5</w:t>
      </w:r>
      <w:r>
        <w:t xml:space="preserve">: Customer impact assessment:</w:t>
      </w:r>
    </w:p>
    <w:p>
      <w:pPr>
        <w:pStyle w:val="Compact"/>
        <w:numPr>
          <w:ilvl w:val="0"/>
          <w:numId w:val="1006"/>
        </w:numPr>
      </w:pPr>
      <w:r>
        <w:t xml:space="preserve">Identified affected customers from inference log query</w:t>
      </w:r>
    </w:p>
    <w:p>
      <w:pPr>
        <w:pStyle w:val="Compact"/>
        <w:numPr>
          <w:ilvl w:val="0"/>
          <w:numId w:val="1006"/>
        </w:numPr>
      </w:pPr>
      <w:r>
        <w:t xml:space="preserve">Categorize impact severity per customer</w:t>
      </w:r>
    </w:p>
    <w:p>
      <w:pPr>
        <w:pStyle w:val="Compact"/>
        <w:numPr>
          <w:ilvl w:val="0"/>
          <w:numId w:val="1006"/>
        </w:numPr>
      </w:pPr>
      <w:r>
        <w:t xml:space="preserve">Determine recourse pathway availability</w:t>
      </w:r>
    </w:p>
    <w:p>
      <w:r>
        <w:pict>
          <v:rect style="width:0;height:1.5pt" o:hralign="center" o:hrstd="t" o:hr="t"/>
        </w:pict>
      </w:r>
    </w:p>
    <w:bookmarkEnd w:id="13"/>
    <w:bookmarkStart w:id="14" w:name="phase-4-first-48-hours-decision-point"/>
    <w:p>
      <w:pPr>
        <w:pStyle w:val="Heading2"/>
      </w:pPr>
      <w:r>
        <w:t xml:space="preserve">Phase 4: First 48 Hours, Decision Point</w:t>
      </w:r>
    </w:p>
    <w:p>
      <w:pPr>
        <w:pStyle w:val="FirstParagraph"/>
      </w:pPr>
      <w:r>
        <w:rPr>
          <w:b/>
          <w:bCs/>
        </w:rPr>
        <w:t xml:space="preserve">Step 4.1</w:t>
      </w:r>
      <w:r>
        <w:t xml:space="preserve">: AI Governance Committee Chair convenes decision meeting. Required pre-read:</w:t>
      </w:r>
    </w:p>
    <w:p>
      <w:pPr>
        <w:pStyle w:val="Compact"/>
        <w:numPr>
          <w:ilvl w:val="0"/>
          <w:numId w:val="1007"/>
        </w:numPr>
      </w:pPr>
      <w:r>
        <w:t xml:space="preserve">Incident summary</w:t>
      </w:r>
    </w:p>
    <w:p>
      <w:pPr>
        <w:pStyle w:val="Compact"/>
        <w:numPr>
          <w:ilvl w:val="0"/>
          <w:numId w:val="1007"/>
        </w:numPr>
      </w:pPr>
      <w:r>
        <w:t xml:space="preserve">Independent disparity calculation</w:t>
      </w:r>
    </w:p>
    <w:p>
      <w:pPr>
        <w:pStyle w:val="Compact"/>
        <w:numPr>
          <w:ilvl w:val="0"/>
          <w:numId w:val="1007"/>
        </w:numPr>
      </w:pPr>
      <w:r>
        <w:t xml:space="preserve">Containment status</w:t>
      </w:r>
    </w:p>
    <w:p>
      <w:pPr>
        <w:pStyle w:val="Compact"/>
        <w:numPr>
          <w:ilvl w:val="0"/>
          <w:numId w:val="1007"/>
        </w:numPr>
      </w:pPr>
      <w:r>
        <w:t xml:space="preserve">Investigation status</w:t>
      </w:r>
    </w:p>
    <w:p>
      <w:pPr>
        <w:pStyle w:val="Compact"/>
        <w:numPr>
          <w:ilvl w:val="0"/>
          <w:numId w:val="1007"/>
        </w:numPr>
      </w:pPr>
      <w:r>
        <w:t xml:space="preserve">Customer impact assessment</w:t>
      </w:r>
    </w:p>
    <w:p>
      <w:pPr>
        <w:pStyle w:val="Compact"/>
        <w:numPr>
          <w:ilvl w:val="0"/>
          <w:numId w:val="1007"/>
        </w:numPr>
      </w:pPr>
      <w:r>
        <w:t xml:space="preserve">Containment options evaluation update</w:t>
      </w:r>
    </w:p>
    <w:p>
      <w:pPr>
        <w:pStyle w:val="FirstParagraph"/>
      </w:pPr>
      <w:r>
        <w:rPr>
          <w:b/>
          <w:bCs/>
        </w:rPr>
        <w:t xml:space="preserve">Step 4.2</w:t>
      </w:r>
      <w:r>
        <w:t xml:space="preserve">: Committee Chair decides:</w:t>
      </w:r>
    </w:p>
    <w:p>
      <w:pPr>
        <w:pStyle w:val="Compact"/>
        <w:numPr>
          <w:ilvl w:val="0"/>
          <w:numId w:val="1008"/>
        </w:numPr>
      </w:pPr>
      <w:r>
        <w:t xml:space="preserve">Continue containment posture</w:t>
      </w:r>
    </w:p>
    <w:p>
      <w:pPr>
        <w:pStyle w:val="Compact"/>
        <w:numPr>
          <w:ilvl w:val="0"/>
          <w:numId w:val="1008"/>
        </w:numPr>
      </w:pPr>
      <w:r>
        <w:t xml:space="preserve">Adjust containment posture</w:t>
      </w:r>
    </w:p>
    <w:p>
      <w:pPr>
        <w:pStyle w:val="Compact"/>
        <w:numPr>
          <w:ilvl w:val="0"/>
          <w:numId w:val="1008"/>
        </w:numPr>
      </w:pPr>
      <w:r>
        <w:t xml:space="preserve">Escalate to extraordinary Committee meeting</w:t>
      </w:r>
    </w:p>
    <w:p>
      <w:pPr>
        <w:pStyle w:val="Compact"/>
        <w:numPr>
          <w:ilvl w:val="0"/>
          <w:numId w:val="1008"/>
        </w:numPr>
      </w:pPr>
      <w:r>
        <w:t xml:space="preserve">Escalate to Board Risk Committee Chair</w:t>
      </w:r>
    </w:p>
    <w:p>
      <w:pPr>
        <w:pStyle w:val="FirstParagraph"/>
      </w:pPr>
      <w:r>
        <w:rPr>
          <w:b/>
          <w:bCs/>
        </w:rPr>
        <w:t xml:space="preserve">Step 4.3</w:t>
      </w:r>
      <w:r>
        <w:t xml:space="preserve">: Ethics Committee Chair review for tier-one model bias incidents. The Ethics Committee Chair may recommend additional actions.</w:t>
      </w:r>
    </w:p>
    <w:p>
      <w:pPr>
        <w:pStyle w:val="BodyText"/>
      </w:pPr>
      <w:r>
        <w:rPr>
          <w:b/>
          <w:bCs/>
        </w:rPr>
        <w:t xml:space="preserve">Step 4.4</w:t>
      </w:r>
      <w:r>
        <w:t xml:space="preserve">: Document the decision with rationale.</w:t>
      </w:r>
    </w:p>
    <w:p>
      <w:r>
        <w:pict>
          <v:rect style="width:0;height:1.5pt" o:hralign="center" o:hrstd="t" o:hr="t"/>
        </w:pict>
      </w:r>
    </w:p>
    <w:bookmarkEnd w:id="14"/>
    <w:bookmarkStart w:id="19" w:name="phase-5-communications"/>
    <w:p>
      <w:pPr>
        <w:pStyle w:val="Heading2"/>
      </w:pPr>
      <w:r>
        <w:t xml:space="preserve">Phase 5: Communications</w:t>
      </w:r>
    </w:p>
    <w:bookmarkStart w:id="15" w:name="internal-communications"/>
    <w:p>
      <w:pPr>
        <w:pStyle w:val="Heading3"/>
      </w:pPr>
      <w:r>
        <w:t xml:space="preserve">5.1 Internal Communications</w:t>
      </w:r>
    </w:p>
    <w:p>
      <w:pPr>
        <w:pStyle w:val="FirstParagraph"/>
      </w:pPr>
      <w:r>
        <w:t xml:space="preserve">Per Template 36 (Internal Communications Template).</w:t>
      </w:r>
    </w:p>
    <w:bookmarkEnd w:id="15"/>
    <w:bookmarkStart w:id="16" w:name="regulatory-notification"/>
    <w:p>
      <w:pPr>
        <w:pStyle w:val="Heading3"/>
      </w:pPr>
      <w:r>
        <w:t xml:space="preserve">5.2 Regulatory Notification</w:t>
      </w:r>
    </w:p>
    <w:p>
      <w:pPr>
        <w:pStyle w:val="FirstParagraph"/>
      </w:pPr>
      <w:r>
        <w:t xml:space="preserve">Bias incidents with regulatory exposure trigger notification obligations under multiple regimes. Head of Legal coordinates:</w:t>
      </w:r>
    </w:p>
    <w:p>
      <w:pPr>
        <w:pStyle w:val="Compact"/>
        <w:numPr>
          <w:ilvl w:val="0"/>
          <w:numId w:val="1009"/>
        </w:numPr>
      </w:pPr>
      <w:r>
        <w:t xml:space="preserve">PDPL notification where personal data processing is implicated</w:t>
      </w:r>
    </w:p>
    <w:p>
      <w:pPr>
        <w:pStyle w:val="Compact"/>
        <w:numPr>
          <w:ilvl w:val="0"/>
          <w:numId w:val="1009"/>
        </w:numPr>
      </w:pPr>
      <w:r>
        <w:t xml:space="preserve">Sectoral regulator notification (CBUAE, SAMA) where customer protection expectations apply</w:t>
      </w:r>
    </w:p>
    <w:p>
      <w:pPr>
        <w:pStyle w:val="Compact"/>
        <w:numPr>
          <w:ilvl w:val="0"/>
          <w:numId w:val="1009"/>
        </w:numPr>
      </w:pPr>
      <w:r>
        <w:t xml:space="preserve">AAOIFI governance reporting (Islamic finance institutions) where Sharia compliance is affected</w:t>
      </w:r>
    </w:p>
    <w:p>
      <w:pPr>
        <w:pStyle w:val="FirstParagraph"/>
      </w:pPr>
      <w:r>
        <w:t xml:space="preserve">Use Template 37 (Regulatory Notification Template).</w:t>
      </w:r>
    </w:p>
    <w:bookmarkEnd w:id="16"/>
    <w:bookmarkStart w:id="17" w:name="customer-communications"/>
    <w:p>
      <w:pPr>
        <w:pStyle w:val="Heading3"/>
      </w:pPr>
      <w:r>
        <w:t xml:space="preserve">5.3 Customer Communications</w:t>
      </w:r>
    </w:p>
    <w:p>
      <w:pPr>
        <w:pStyle w:val="FirstParagraph"/>
      </w:pPr>
      <w:r>
        <w:t xml:space="preserve">Affected customers receive proactive notification within 72 hours of containment.</w:t>
      </w:r>
    </w:p>
    <w:p>
      <w:pPr>
        <w:pStyle w:val="BodyText"/>
      </w:pPr>
      <w:r>
        <w:t xml:space="preserve">Customer communication includes:</w:t>
      </w:r>
    </w:p>
    <w:p>
      <w:pPr>
        <w:pStyle w:val="Compact"/>
        <w:numPr>
          <w:ilvl w:val="0"/>
          <w:numId w:val="1010"/>
        </w:numPr>
      </w:pPr>
      <w:r>
        <w:t xml:space="preserve">Statement of fact about the situation</w:t>
      </w:r>
    </w:p>
    <w:p>
      <w:pPr>
        <w:pStyle w:val="Compact"/>
        <w:numPr>
          <w:ilvl w:val="0"/>
          <w:numId w:val="1010"/>
        </w:numPr>
      </w:pPr>
      <w:r>
        <w:t xml:space="preserve">What this means for the affected customer</w:t>
      </w:r>
    </w:p>
    <w:p>
      <w:pPr>
        <w:pStyle w:val="Compact"/>
        <w:numPr>
          <w:ilvl w:val="0"/>
          <w:numId w:val="1010"/>
        </w:numPr>
      </w:pPr>
      <w:r>
        <w:t xml:space="preserve">Specific action taken on the customer's account or decision</w:t>
      </w:r>
    </w:p>
    <w:p>
      <w:pPr>
        <w:pStyle w:val="Compact"/>
        <w:numPr>
          <w:ilvl w:val="0"/>
          <w:numId w:val="1010"/>
        </w:numPr>
      </w:pPr>
      <w:r>
        <w:t xml:space="preserve">Recourse pathway (human review, decision override request)</w:t>
      </w:r>
    </w:p>
    <w:p>
      <w:pPr>
        <w:pStyle w:val="Compact"/>
        <w:numPr>
          <w:ilvl w:val="0"/>
          <w:numId w:val="1010"/>
        </w:numPr>
      </w:pPr>
      <w:r>
        <w:t xml:space="preserve">Direct contact for questions</w:t>
      </w:r>
    </w:p>
    <w:p>
      <w:pPr>
        <w:pStyle w:val="Compact"/>
        <w:numPr>
          <w:ilvl w:val="0"/>
          <w:numId w:val="1010"/>
        </w:numPr>
      </w:pPr>
      <w:r>
        <w:t xml:space="preserve">Commitment to follow-up</w:t>
      </w:r>
    </w:p>
    <w:p>
      <w:pPr>
        <w:pStyle w:val="FirstParagraph"/>
      </w:pPr>
      <w:r>
        <w:t xml:space="preserve">Use Template 38 (Customer Communications Template), adapted for the specific protected attribute and decision affected.</w:t>
      </w:r>
    </w:p>
    <w:bookmarkEnd w:id="17"/>
    <w:bookmarkStart w:id="18" w:name="media-statement"/>
    <w:p>
      <w:pPr>
        <w:pStyle w:val="Heading3"/>
      </w:pPr>
      <w:r>
        <w:t xml:space="preserve">5.4 Media Statement</w:t>
      </w:r>
    </w:p>
    <w:p>
      <w:pPr>
        <w:pStyle w:val="FirstParagraph"/>
      </w:pPr>
      <w:r>
        <w:t xml:space="preserve">Prepared statement held in readiness. Released only if media inquiry begins or proactive disclosure is required per General Counsel and Chief Communications Officer judgment. Use Template 39.</w:t>
      </w:r>
    </w:p>
    <w:p>
      <w:r>
        <w:pict>
          <v:rect style="width:0;height:1.5pt" o:hralign="center" o:hrstd="t" o:hr="t"/>
        </w:pict>
      </w:r>
    </w:p>
    <w:bookmarkEnd w:id="18"/>
    <w:bookmarkEnd w:id="19"/>
    <w:bookmarkStart w:id="20" w:name="phase-6-remediation"/>
    <w:p>
      <w:pPr>
        <w:pStyle w:val="Heading2"/>
      </w:pPr>
      <w:r>
        <w:t xml:space="preserve">Phase 6: Remediation</w:t>
      </w:r>
    </w:p>
    <w:p>
      <w:pPr>
        <w:pStyle w:val="FirstParagraph"/>
      </w:pPr>
      <w:r>
        <w:rPr>
          <w:b/>
          <w:bCs/>
        </w:rPr>
        <w:t xml:space="preserve">Step 6.1</w:t>
      </w:r>
      <w:r>
        <w:t xml:space="preserve">: Remediation plan development:</w:t>
      </w:r>
    </w:p>
    <w:p>
      <w:pPr>
        <w:pStyle w:val="Compact"/>
        <w:numPr>
          <w:ilvl w:val="0"/>
          <w:numId w:val="1011"/>
        </w:numPr>
      </w:pPr>
      <w:r>
        <w:t xml:space="preserve">Model remediation (retraining, mitigation method change, threshold adjustment)</w:t>
      </w:r>
    </w:p>
    <w:p>
      <w:pPr>
        <w:pStyle w:val="Compact"/>
        <w:numPr>
          <w:ilvl w:val="0"/>
          <w:numId w:val="1011"/>
        </w:numPr>
      </w:pPr>
      <w:r>
        <w:t xml:space="preserve">Data remediation (if data issue identified)</w:t>
      </w:r>
    </w:p>
    <w:p>
      <w:pPr>
        <w:pStyle w:val="Compact"/>
        <w:numPr>
          <w:ilvl w:val="0"/>
          <w:numId w:val="1011"/>
        </w:numPr>
      </w:pPr>
      <w:r>
        <w:t xml:space="preserve">Process remediation (if process gap identified)</w:t>
      </w:r>
    </w:p>
    <w:p>
      <w:pPr>
        <w:pStyle w:val="Compact"/>
        <w:numPr>
          <w:ilvl w:val="0"/>
          <w:numId w:val="1011"/>
        </w:numPr>
      </w:pPr>
      <w:r>
        <w:t xml:space="preserve">Policy remediation (if policy gap identified)</w:t>
      </w:r>
    </w:p>
    <w:p>
      <w:pPr>
        <w:pStyle w:val="FirstParagraph"/>
      </w:pPr>
      <w:r>
        <w:rPr>
          <w:b/>
          <w:bCs/>
        </w:rPr>
        <w:t xml:space="preserve">Step 6.2</w:t>
      </w:r>
      <w:r>
        <w:t xml:space="preserve">: Remediation plan approval:</w:t>
      </w:r>
    </w:p>
    <w:p>
      <w:pPr>
        <w:pStyle w:val="Compact"/>
        <w:numPr>
          <w:ilvl w:val="0"/>
          <w:numId w:val="1012"/>
        </w:numPr>
      </w:pPr>
      <w:r>
        <w:t xml:space="preserve">Model Validation Forum approves model remediation</w:t>
      </w:r>
    </w:p>
    <w:p>
      <w:pPr>
        <w:pStyle w:val="Compact"/>
        <w:numPr>
          <w:ilvl w:val="0"/>
          <w:numId w:val="1012"/>
        </w:numPr>
      </w:pPr>
      <w:r>
        <w:t xml:space="preserve">Data Governance Officer approves data remediation</w:t>
      </w:r>
    </w:p>
    <w:p>
      <w:pPr>
        <w:pStyle w:val="Compact"/>
        <w:numPr>
          <w:ilvl w:val="0"/>
          <w:numId w:val="1012"/>
        </w:numPr>
      </w:pPr>
      <w:r>
        <w:t xml:space="preserve">AI Governance Committee approves process and policy remediation</w:t>
      </w:r>
    </w:p>
    <w:p>
      <w:pPr>
        <w:pStyle w:val="FirstParagraph"/>
      </w:pPr>
      <w:r>
        <w:rPr>
          <w:b/>
          <w:bCs/>
        </w:rPr>
        <w:t xml:space="preserve">Step 6.3</w:t>
      </w:r>
      <w:r>
        <w:t xml:space="preserve">: Remediation execution with timeline:</w:t>
      </w:r>
    </w:p>
    <w:p>
      <w:pPr>
        <w:pStyle w:val="Compact"/>
        <w:numPr>
          <w:ilvl w:val="0"/>
          <w:numId w:val="1013"/>
        </w:numPr>
      </w:pPr>
      <w:r>
        <w:t xml:space="preserve">Quick wins within 7 days</w:t>
      </w:r>
    </w:p>
    <w:p>
      <w:pPr>
        <w:pStyle w:val="Compact"/>
        <w:numPr>
          <w:ilvl w:val="0"/>
          <w:numId w:val="1013"/>
        </w:numPr>
      </w:pPr>
      <w:r>
        <w:t xml:space="preserve">Substantive remediation within 30 days</w:t>
      </w:r>
    </w:p>
    <w:p>
      <w:pPr>
        <w:pStyle w:val="Compact"/>
        <w:numPr>
          <w:ilvl w:val="0"/>
          <w:numId w:val="1013"/>
        </w:numPr>
      </w:pPr>
      <w:r>
        <w:t xml:space="preserve">Structural remediation within 90 days</w:t>
      </w:r>
    </w:p>
    <w:p>
      <w:pPr>
        <w:pStyle w:val="FirstParagraph"/>
      </w:pPr>
      <w:r>
        <w:rPr>
          <w:b/>
          <w:bCs/>
        </w:rPr>
        <w:t xml:space="preserve">Step 6.4</w:t>
      </w:r>
      <w:r>
        <w:t xml:space="preserve">: Pre-restoration validation: independent re-validation of the remediated model, including focused bias audit, before any restoration to full operation.</w:t>
      </w:r>
    </w:p>
    <w:p>
      <w:r>
        <w:pict>
          <v:rect style="width:0;height:1.5pt" o:hralign="center" o:hrstd="t" o:hr="t"/>
        </w:pict>
      </w:r>
    </w:p>
    <w:bookmarkEnd w:id="20"/>
    <w:bookmarkStart w:id="21" w:name="phase-7-recovery"/>
    <w:p>
      <w:pPr>
        <w:pStyle w:val="Heading2"/>
      </w:pPr>
      <w:r>
        <w:t xml:space="preserve">Phase 7: Recovery</w:t>
      </w:r>
    </w:p>
    <w:p>
      <w:pPr>
        <w:pStyle w:val="FirstParagraph"/>
      </w:pPr>
      <w:r>
        <w:rPr>
          <w:b/>
          <w:bCs/>
        </w:rPr>
        <w:t xml:space="preserve">Step 7.1</w:t>
      </w:r>
      <w:r>
        <w:t xml:space="preserve">: Return-to-service criteria:</w:t>
      </w:r>
    </w:p>
    <w:p>
      <w:pPr>
        <w:pStyle w:val="Compact"/>
        <w:numPr>
          <w:ilvl w:val="0"/>
          <w:numId w:val="1014"/>
        </w:numPr>
      </w:pPr>
      <w:r>
        <w:t xml:space="preserve">Disparity below institutional threshold confirmed in independent re-validation</w:t>
      </w:r>
    </w:p>
    <w:p>
      <w:pPr>
        <w:pStyle w:val="Compact"/>
        <w:numPr>
          <w:ilvl w:val="0"/>
          <w:numId w:val="1014"/>
        </w:numPr>
      </w:pPr>
      <w:r>
        <w:t xml:space="preserve">Bias audit refreshed and approved</w:t>
      </w:r>
    </w:p>
    <w:p>
      <w:pPr>
        <w:pStyle w:val="Compact"/>
        <w:numPr>
          <w:ilvl w:val="0"/>
          <w:numId w:val="1014"/>
        </w:numPr>
      </w:pPr>
      <w:r>
        <w:t xml:space="preserve">Model card updated (Template 11)</w:t>
      </w:r>
    </w:p>
    <w:p>
      <w:pPr>
        <w:pStyle w:val="Compact"/>
        <w:numPr>
          <w:ilvl w:val="0"/>
          <w:numId w:val="1014"/>
        </w:numPr>
      </w:pPr>
      <w:r>
        <w:t xml:space="preserve">Validation report updated (Template 12)</w:t>
      </w:r>
    </w:p>
    <w:p>
      <w:pPr>
        <w:pStyle w:val="Compact"/>
        <w:numPr>
          <w:ilvl w:val="0"/>
          <w:numId w:val="1014"/>
        </w:numPr>
      </w:pPr>
      <w:r>
        <w:t xml:space="preserve">Drift monitoring configuration enhanced (Template 16)</w:t>
      </w:r>
    </w:p>
    <w:p>
      <w:pPr>
        <w:pStyle w:val="Compact"/>
        <w:numPr>
          <w:ilvl w:val="0"/>
          <w:numId w:val="1014"/>
        </w:numPr>
      </w:pPr>
      <w:r>
        <w:t xml:space="preserve">Customer communications complete</w:t>
      </w:r>
    </w:p>
    <w:p>
      <w:pPr>
        <w:pStyle w:val="Compact"/>
        <w:numPr>
          <w:ilvl w:val="0"/>
          <w:numId w:val="1014"/>
        </w:numPr>
      </w:pPr>
      <w:r>
        <w:t xml:space="preserve">Regulatory notifications complete</w:t>
      </w:r>
    </w:p>
    <w:p>
      <w:pPr>
        <w:pStyle w:val="FirstParagraph"/>
      </w:pPr>
      <w:r>
        <w:rPr>
          <w:b/>
          <w:bCs/>
        </w:rPr>
        <w:t xml:space="preserve">Step 7.2</w:t>
      </w:r>
      <w:r>
        <w:t xml:space="preserve">: Phased restoration:</w:t>
      </w:r>
    </w:p>
    <w:p>
      <w:pPr>
        <w:pStyle w:val="Compact"/>
        <w:numPr>
          <w:ilvl w:val="0"/>
          <w:numId w:val="1015"/>
        </w:numPr>
      </w:pPr>
      <w:r>
        <w:t xml:space="preserve">Stage 1: Internal users only, 24 hours, manual review of all decisions</w:t>
      </w:r>
    </w:p>
    <w:p>
      <w:pPr>
        <w:pStyle w:val="Compact"/>
        <w:numPr>
          <w:ilvl w:val="0"/>
          <w:numId w:val="1015"/>
        </w:numPr>
      </w:pPr>
      <w:r>
        <w:t xml:space="preserve">Stage 2: 10% of customer traffic, 48 hours, enhanced monitoring</w:t>
      </w:r>
    </w:p>
    <w:p>
      <w:pPr>
        <w:pStyle w:val="Compact"/>
        <w:numPr>
          <w:ilvl w:val="0"/>
          <w:numId w:val="1015"/>
        </w:numPr>
      </w:pPr>
      <w:r>
        <w:t xml:space="preserve">Stage 3: 50% of customer traffic, 72 hours, enhanced monitoring</w:t>
      </w:r>
    </w:p>
    <w:p>
      <w:pPr>
        <w:pStyle w:val="Compact"/>
        <w:numPr>
          <w:ilvl w:val="0"/>
          <w:numId w:val="1015"/>
        </w:numPr>
      </w:pPr>
      <w:r>
        <w:t xml:space="preserve">Stage 4: Full traffic, sustained enhanced monitoring for 30 days</w:t>
      </w:r>
    </w:p>
    <w:p>
      <w:pPr>
        <w:pStyle w:val="FirstParagraph"/>
      </w:pPr>
      <w:r>
        <w:rPr>
          <w:b/>
          <w:bCs/>
        </w:rPr>
        <w:t xml:space="preserve">Step 7.3</w:t>
      </w:r>
      <w:r>
        <w:t xml:space="preserve">: Sign-off:</w:t>
      </w:r>
    </w:p>
    <w:p>
      <w:pPr>
        <w:pStyle w:val="Compact"/>
        <w:numPr>
          <w:ilvl w:val="0"/>
          <w:numId w:val="1016"/>
        </w:numPr>
      </w:pPr>
      <w:r>
        <w:t xml:space="preserve">Head of Model Validation confirms re-validation</w:t>
      </w:r>
    </w:p>
    <w:p>
      <w:pPr>
        <w:pStyle w:val="Compact"/>
        <w:numPr>
          <w:ilvl w:val="0"/>
          <w:numId w:val="1016"/>
        </w:numPr>
      </w:pPr>
      <w:r>
        <w:t xml:space="preserve">Head of AI Incident Response confirms incident closure conditions</w:t>
      </w:r>
    </w:p>
    <w:p>
      <w:pPr>
        <w:pStyle w:val="Compact"/>
        <w:numPr>
          <w:ilvl w:val="0"/>
          <w:numId w:val="1016"/>
        </w:numPr>
      </w:pPr>
      <w:r>
        <w:t xml:space="preserve">AI Governance Committee acknowledges return to service</w:t>
      </w:r>
    </w:p>
    <w:p>
      <w:r>
        <w:pict>
          <v:rect style="width:0;height:1.5pt" o:hralign="center" o:hrstd="t" o:hr="t"/>
        </w:pict>
      </w:r>
    </w:p>
    <w:bookmarkEnd w:id="21"/>
    <w:bookmarkStart w:id="22" w:name="phase-8-post-incident-review"/>
    <w:p>
      <w:pPr>
        <w:pStyle w:val="Heading2"/>
      </w:pPr>
      <w:r>
        <w:t xml:space="preserve">Phase 8: Post-Incident Review</w:t>
      </w:r>
    </w:p>
    <w:p>
      <w:pPr>
        <w:pStyle w:val="FirstParagraph"/>
      </w:pPr>
      <w:r>
        <w:rPr>
          <w:b/>
          <w:bCs/>
        </w:rPr>
        <w:t xml:space="preserve">Step 8.1</w:t>
      </w:r>
      <w:r>
        <w:t xml:space="preserve">: Post-Incident Review scheduled within 30 days. Use Template 31.</w:t>
      </w:r>
    </w:p>
    <w:p>
      <w:pPr>
        <w:pStyle w:val="BodyText"/>
      </w:pPr>
      <w:r>
        <w:rPr>
          <w:b/>
          <w:bCs/>
        </w:rPr>
        <w:t xml:space="preserve">Step 8.2</w:t>
      </w:r>
      <w:r>
        <w:t xml:space="preserve">: Findings cascade:</w:t>
      </w:r>
    </w:p>
    <w:p>
      <w:pPr>
        <w:pStyle w:val="Compact"/>
        <w:numPr>
          <w:ilvl w:val="0"/>
          <w:numId w:val="1017"/>
        </w:numPr>
      </w:pPr>
      <w:r>
        <w:t xml:space="preserve">Policy revisions</w:t>
      </w:r>
    </w:p>
    <w:p>
      <w:pPr>
        <w:pStyle w:val="Compact"/>
        <w:numPr>
          <w:ilvl w:val="0"/>
          <w:numId w:val="1017"/>
        </w:numPr>
      </w:pPr>
      <w:r>
        <w:t xml:space="preserve">Runbook revisions (including this runbook)</w:t>
      </w:r>
    </w:p>
    <w:p>
      <w:pPr>
        <w:pStyle w:val="Compact"/>
        <w:numPr>
          <w:ilvl w:val="0"/>
          <w:numId w:val="1017"/>
        </w:numPr>
      </w:pPr>
      <w:r>
        <w:t xml:space="preserve">Training revisions</w:t>
      </w:r>
    </w:p>
    <w:p>
      <w:pPr>
        <w:pStyle w:val="Compact"/>
        <w:numPr>
          <w:ilvl w:val="0"/>
          <w:numId w:val="1017"/>
        </w:numPr>
      </w:pPr>
      <w:r>
        <w:t xml:space="preserve">Bias audit methodology revisions if methodology gap identified</w:t>
      </w:r>
    </w:p>
    <w:p>
      <w:pPr>
        <w:pStyle w:val="FirstParagraph"/>
      </w:pPr>
      <w:r>
        <w:rPr>
          <w:b/>
          <w:bCs/>
        </w:rPr>
        <w:t xml:space="preserve">Step 8.3</w:t>
      </w:r>
      <w:r>
        <w:t xml:space="preserve">: Update institutional lessons-learned register.</w:t>
      </w:r>
    </w:p>
    <w:p>
      <w:pPr>
        <w:pStyle w:val="BodyText"/>
      </w:pPr>
      <w:r>
        <w:rPr>
          <w:b/>
          <w:bCs/>
        </w:rPr>
        <w:t xml:space="preserve">Step 8.4</w:t>
      </w:r>
      <w:r>
        <w:t xml:space="preserve">: Update Bias Audit Report Template (Template 13) if a methodology gap was identified.</w:t>
      </w:r>
    </w:p>
    <w:p>
      <w:r>
        <w:pict>
          <v:rect style="width:0;height:1.5pt" o:hralign="center" o:hrstd="t" o:hr="t"/>
        </w:pict>
      </w:r>
    </w:p>
    <w:bookmarkEnd w:id="22"/>
    <w:bookmarkStart w:id="23" w:name="roles-and-responsibilities"/>
    <w:p>
      <w:pPr>
        <w:pStyle w:val="Heading2"/>
      </w:pPr>
      <w:r>
        <w:t xml:space="preserve">Roles and Responsibilities</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Role</w:t>
            </w:r>
          </w:p>
        </w:tc>
        <w:tc>
          <w:tcPr/>
          <w:p>
            <w:pPr>
              <w:pStyle w:val="Compact"/>
            </w:pPr>
            <w:r>
              <w:t xml:space="preserve">Responsibility</w:t>
            </w:r>
          </w:p>
        </w:tc>
      </w:tr>
      <w:tr>
        <w:tc>
          <w:tcPr/>
          <w:p>
            <w:pPr>
              <w:pStyle w:val="Compact"/>
            </w:pPr>
            <w:r>
              <w:t xml:space="preserve">On-call AI Incident Commander</w:t>
            </w:r>
          </w:p>
        </w:tc>
        <w:tc>
          <w:tcPr/>
          <w:p>
            <w:pPr>
              <w:pStyle w:val="Compact"/>
            </w:pPr>
            <w:r>
              <w:t xml:space="preserve">Initial triage, classification, first hour actions, decision log</w:t>
            </w:r>
          </w:p>
        </w:tc>
      </w:tr>
      <w:tr>
        <w:tc>
          <w:tcPr/>
          <w:p>
            <w:pPr>
              <w:pStyle w:val="Compact"/>
            </w:pPr>
            <w:r>
              <w:t xml:space="preserve">Head of AI Incident Response</w:t>
            </w:r>
          </w:p>
        </w:tc>
        <w:tc>
          <w:tcPr/>
          <w:p>
            <w:pPr>
              <w:pStyle w:val="Compact"/>
            </w:pPr>
            <w:r>
              <w:t xml:space="preserve">Confirms classification, leads response coordination, owns runbook execution</w:t>
            </w:r>
          </w:p>
        </w:tc>
      </w:tr>
      <w:tr>
        <w:tc>
          <w:tcPr/>
          <w:p>
            <w:pPr>
              <w:pStyle w:val="Compact"/>
            </w:pPr>
            <w:r>
              <w:t xml:space="preserve">Head of Model Validation</w:t>
            </w:r>
          </w:p>
        </w:tc>
        <w:tc>
          <w:tcPr/>
          <w:p>
            <w:pPr>
              <w:pStyle w:val="Compact"/>
            </w:pPr>
            <w:r>
              <w:t xml:space="preserve">Independent disparity calculation, investigation lead, re-validation lead</w:t>
            </w:r>
          </w:p>
        </w:tc>
      </w:tr>
      <w:tr>
        <w:tc>
          <w:tcPr/>
          <w:p>
            <w:pPr>
              <w:pStyle w:val="Compact"/>
            </w:pPr>
            <w:r>
              <w:t xml:space="preserve">Model Owner</w:t>
            </w:r>
          </w:p>
        </w:tc>
        <w:tc>
          <w:tcPr/>
          <w:p>
            <w:pPr>
              <w:pStyle w:val="Compact"/>
            </w:pPr>
            <w:r>
              <w:t xml:space="preserve">Provides model context, supports investigation, executes remediation</w:t>
            </w:r>
          </w:p>
        </w:tc>
      </w:tr>
      <w:tr>
        <w:tc>
          <w:tcPr/>
          <w:p>
            <w:pPr>
              <w:pStyle w:val="Compact"/>
            </w:pPr>
            <w:r>
              <w:t xml:space="preserve">Head of AI Governance Office</w:t>
            </w:r>
          </w:p>
        </w:tc>
        <w:tc>
          <w:tcPr/>
          <w:p>
            <w:pPr>
              <w:pStyle w:val="Compact"/>
            </w:pPr>
            <w:r>
              <w:t xml:space="preserve">Senior coordination, executive briefing</w:t>
            </w:r>
          </w:p>
        </w:tc>
      </w:tr>
      <w:tr>
        <w:tc>
          <w:tcPr/>
          <w:p>
            <w:pPr>
              <w:pStyle w:val="Compact"/>
            </w:pPr>
            <w:r>
              <w:t xml:space="preserve">AI Governance Committee Chair</w:t>
            </w:r>
          </w:p>
        </w:tc>
        <w:tc>
          <w:tcPr/>
          <w:p>
            <w:pPr>
              <w:pStyle w:val="Compact"/>
            </w:pPr>
            <w:r>
              <w:t xml:space="preserve">Decision authority on continued operation, escalation to Board</w:t>
            </w:r>
          </w:p>
        </w:tc>
      </w:tr>
      <w:tr>
        <w:tc>
          <w:tcPr/>
          <w:p>
            <w:pPr>
              <w:pStyle w:val="Compact"/>
            </w:pPr>
            <w:r>
              <w:t xml:space="preserve">Ethics Committee Chair</w:t>
            </w:r>
          </w:p>
        </w:tc>
        <w:tc>
          <w:tcPr/>
          <w:p>
            <w:pPr>
              <w:pStyle w:val="Compact"/>
            </w:pPr>
            <w:r>
              <w:t xml:space="preserve">Ethical review for tier-one model bias incidents</w:t>
            </w:r>
          </w:p>
        </w:tc>
      </w:tr>
      <w:tr>
        <w:tc>
          <w:tcPr/>
          <w:p>
            <w:pPr>
              <w:pStyle w:val="Compact"/>
            </w:pPr>
            <w:r>
              <w:t xml:space="preserve">General Counsel</w:t>
            </w:r>
          </w:p>
        </w:tc>
        <w:tc>
          <w:tcPr/>
          <w:p>
            <w:pPr>
              <w:pStyle w:val="Compact"/>
            </w:pPr>
            <w:r>
              <w:t xml:space="preserve">Regulatory notification coordination</w:t>
            </w:r>
          </w:p>
        </w:tc>
      </w:tr>
      <w:tr>
        <w:tc>
          <w:tcPr/>
          <w:p>
            <w:pPr>
              <w:pStyle w:val="Compact"/>
            </w:pPr>
            <w:r>
              <w:t xml:space="preserve">Chief Risk Officer</w:t>
            </w:r>
          </w:p>
        </w:tc>
        <w:tc>
          <w:tcPr/>
          <w:p>
            <w:pPr>
              <w:pStyle w:val="Compact"/>
            </w:pPr>
            <w:r>
              <w:t xml:space="preserve">Executive accountability, Board notification</w:t>
            </w:r>
          </w:p>
        </w:tc>
      </w:tr>
      <w:tr>
        <w:tc>
          <w:tcPr/>
          <w:p>
            <w:pPr>
              <w:pStyle w:val="Compact"/>
            </w:pPr>
            <w:r>
              <w:t xml:space="preserve">Sharia Advisor</w:t>
            </w:r>
          </w:p>
        </w:tc>
        <w:tc>
          <w:tcPr/>
          <w:p>
            <w:pPr>
              <w:pStyle w:val="Compact"/>
            </w:pPr>
            <w:r>
              <w:t xml:space="preserve">Sharia compliance review (Islamic finance institutions)</w:t>
            </w:r>
          </w:p>
        </w:tc>
      </w:tr>
      <w:tr>
        <w:tc>
          <w:tcPr/>
          <w:p>
            <w:pPr>
              <w:pStyle w:val="Compact"/>
            </w:pPr>
            <w:r>
              <w:t xml:space="preserve">Chief Customer Officer</w:t>
            </w:r>
          </w:p>
        </w:tc>
        <w:tc>
          <w:tcPr/>
          <w:p>
            <w:pPr>
              <w:pStyle w:val="Compact"/>
            </w:pPr>
            <w:r>
              <w:t xml:space="preserve">Customer communication oversight, recourse pathway</w:t>
            </w:r>
          </w:p>
        </w:tc>
      </w:tr>
    </w:tbl>
    <w:p>
      <w:r>
        <w:pict>
          <v:rect style="width:0;height:1.5pt" o:hralign="center" o:hrstd="t" o:hr="t"/>
        </w:pict>
      </w:r>
    </w:p>
    <w:bookmarkEnd w:id="23"/>
    <w:bookmarkStart w:id="24" w:name="quick-reference-card"/>
    <w:p>
      <w:pPr>
        <w:pStyle w:val="Heading2"/>
      </w:pPr>
      <w:r>
        <w:t xml:space="preserve">Quick Reference Card</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t xml:space="preserve">Time From Detection</w:t>
            </w:r>
          </w:p>
        </w:tc>
        <w:tc>
          <w:tcPr/>
          <w:p>
            <w:pPr>
              <w:pStyle w:val="Compact"/>
            </w:pPr>
            <w:r>
              <w:t xml:space="preserve">Required Action</w:t>
            </w:r>
          </w:p>
        </w:tc>
      </w:tr>
      <w:tr>
        <w:tc>
          <w:tcPr/>
          <w:p>
            <w:pPr>
              <w:pStyle w:val="Compact"/>
            </w:pPr>
            <w:r>
              <w:t xml:space="preserve">0-30 min</w:t>
            </w:r>
          </w:p>
        </w:tc>
        <w:tc>
          <w:tcPr/>
          <w:p>
            <w:pPr>
              <w:pStyle w:val="Compact"/>
            </w:pPr>
            <w:r>
              <w:t xml:space="preserve">Triage, classification, notify Head of AI Incident Response</w:t>
            </w:r>
          </w:p>
        </w:tc>
      </w:tr>
      <w:tr>
        <w:tc>
          <w:tcPr/>
          <w:p>
            <w:pPr>
              <w:pStyle w:val="Compact"/>
            </w:pPr>
            <w:r>
              <w:t xml:space="preserve">30-60 min</w:t>
            </w:r>
          </w:p>
        </w:tc>
        <w:tc>
          <w:tcPr/>
          <w:p>
            <w:pPr>
              <w:pStyle w:val="Compact"/>
            </w:pPr>
            <w:r>
              <w:t xml:space="preserve">Independent calculation, scope assessment, notify CRO and Ethics Chair</w:t>
            </w:r>
          </w:p>
        </w:tc>
      </w:tr>
      <w:tr>
        <w:tc>
          <w:tcPr/>
          <w:p>
            <w:pPr>
              <w:pStyle w:val="Compact"/>
            </w:pPr>
            <w:r>
              <w:t xml:space="preserve">1-4 hours</w:t>
            </w:r>
          </w:p>
        </w:tc>
        <w:tc>
          <w:tcPr/>
          <w:p>
            <w:pPr>
              <w:pStyle w:val="Compact"/>
            </w:pPr>
            <w:r>
              <w:t xml:space="preserve">Containment decision and execution</w:t>
            </w:r>
          </w:p>
        </w:tc>
      </w:tr>
      <w:tr>
        <w:tc>
          <w:tcPr/>
          <w:p>
            <w:pPr>
              <w:pStyle w:val="Compact"/>
            </w:pPr>
            <w:r>
              <w:t xml:space="preserve">4-24 hours</w:t>
            </w:r>
          </w:p>
        </w:tc>
        <w:tc>
          <w:tcPr/>
          <w:p>
            <w:pPr>
              <w:pStyle w:val="Compact"/>
            </w:pPr>
            <w:r>
              <w:t xml:space="preserve">Investigation, customer impact assessment, root cause hypothesis</w:t>
            </w:r>
          </w:p>
        </w:tc>
      </w:tr>
      <w:tr>
        <w:tc>
          <w:tcPr/>
          <w:p>
            <w:pPr>
              <w:pStyle w:val="Compact"/>
            </w:pPr>
            <w:r>
              <w:t xml:space="preserve">24-48 hours</w:t>
            </w:r>
          </w:p>
        </w:tc>
        <w:tc>
          <w:tcPr/>
          <w:p>
            <w:pPr>
              <w:pStyle w:val="Compact"/>
            </w:pPr>
            <w:r>
              <w:t xml:space="preserve">AI Governance Committee Chair decision, regulatory notification preparation</w:t>
            </w:r>
          </w:p>
        </w:tc>
      </w:tr>
      <w:tr>
        <w:tc>
          <w:tcPr/>
          <w:p>
            <w:pPr>
              <w:pStyle w:val="Compact"/>
            </w:pPr>
            <w:r>
              <w:t xml:space="preserve">48-72 hours</w:t>
            </w:r>
          </w:p>
        </w:tc>
        <w:tc>
          <w:tcPr/>
          <w:p>
            <w:pPr>
              <w:pStyle w:val="Compact"/>
            </w:pPr>
            <w:r>
              <w:t xml:space="preserve">Customer notification, regulatory notification within statutory deadlines</w:t>
            </w:r>
          </w:p>
        </w:tc>
      </w:tr>
      <w:tr>
        <w:tc>
          <w:tcPr/>
          <w:p>
            <w:pPr>
              <w:pStyle w:val="Compact"/>
            </w:pPr>
            <w:r>
              <w:t xml:space="preserve">7-30 days</w:t>
            </w:r>
          </w:p>
        </w:tc>
        <w:tc>
          <w:tcPr/>
          <w:p>
            <w:pPr>
              <w:pStyle w:val="Compact"/>
            </w:pPr>
            <w:r>
              <w:t xml:space="preserve">Remediation, pre-restoration validation, phased restoration</w:t>
            </w:r>
          </w:p>
        </w:tc>
      </w:tr>
      <w:tr>
        <w:tc>
          <w:tcPr/>
          <w:p>
            <w:pPr>
              <w:pStyle w:val="Compact"/>
            </w:pPr>
            <w:r>
              <w:t xml:space="preserve">30 days post-resolution</w:t>
            </w:r>
          </w:p>
        </w:tc>
        <w:tc>
          <w:tcPr/>
          <w:p>
            <w:pPr>
              <w:pStyle w:val="Compact"/>
            </w:pPr>
            <w:r>
              <w:t xml:space="preserve">Post-Incident Review</w:t>
            </w:r>
          </w:p>
        </w:tc>
      </w:tr>
    </w:tbl>
    <w:p>
      <w:pPr>
        <w:pStyle w:val="BodyText"/>
      </w:pPr>
      <w:r>
        <w:rPr>
          <w:b/>
          <w:bCs/>
        </w:rPr>
        <w:t xml:space="preserve">End of Bias Detection Runbook.</w:t>
      </w:r>
    </w:p>
    <w:p>
      <w:pPr>
        <w:pStyle w:val="BodyText"/>
      </w:pPr>
      <w:r>
        <w:rPr>
          <w:b/>
          <w:bCs/>
        </w:rPr>
        <w:t xml:space="preserve">Usage Notes</w:t>
      </w:r>
      <w:r>
        <w:t xml:space="preserve">: This runbook is exercised quarterly through tabletop simulation. The simulation surfaces gaps the runbook did not anticipate. Each simulation produces revisions to the runbook before the next quarterly exercise. A runbook that does not change over time is a runbook that is not being exercised against new realities.</w:t>
      </w:r>
    </w:p>
    <w:p>
      <w:r>
        <w:pict>
          <v:rect style="width:0;height:1.5pt" o:hralign="center" o:hrstd="t" o:hr="t"/>
        </w:pict>
      </w:r>
    </w:p>
    <w:bookmarkEnd w:id="24"/>
    <w:bookmarkEnd w:id="2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 w:numId="1002">
    <w:abstractNumId w:val="991"/>
  </w:num>
  <w:num w:numId="1003">
    <w:abstractNumId w:val="991"/>
  </w:num>
  <w:num w:numId="1004">
    <w:abstractNumId w:val="991"/>
  </w:num>
  <w:num w:numId="1005">
    <w:abstractNumId w:val="991"/>
  </w:num>
  <w:num w:numId="1006">
    <w:abstractNumId w:val="991"/>
  </w:num>
  <w:num w:numId="1007">
    <w:abstractNumId w:val="991"/>
  </w:num>
  <w:num w:numId="1008">
    <w:abstractNumId w:val="991"/>
  </w:num>
  <w:num w:numId="1009">
    <w:abstractNumId w:val="991"/>
  </w:num>
  <w:num w:numId="1010">
    <w:abstractNumId w:val="991"/>
  </w:num>
  <w:num w:numId="1011">
    <w:abstractNumId w:val="991"/>
  </w:num>
  <w:num w:numId="1012">
    <w:abstractNumId w:val="991"/>
  </w:num>
  <w:num w:numId="1013">
    <w:abstractNumId w:val="991"/>
  </w:num>
  <w:num w:numId="1014">
    <w:abstractNumId w:val="991"/>
  </w:num>
  <w:num w:numId="1015">
    <w:abstractNumId w:val="991"/>
  </w:num>
  <w:num w:numId="1016">
    <w:abstractNumId w:val="991"/>
  </w:num>
  <w:num w:numId="1017">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2026-08-23T00:18:42Z</dcterms:created>
  <dcterms:modified xsi:type="dcterms:W3CDTF">2026-08-23T00:18:42Z</dcterms:modified>
</cp:coreProperties>
</file>

<file path=docProps/custom.xml><?xml version="1.0" encoding="utf-8"?>
<Properties xmlns="http://schemas.openxmlformats.org/officeDocument/2006/custom-properties" xmlns:vt="http://schemas.openxmlformats.org/officeDocument/2006/docPropsVTypes"/>
</file>