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X20c498862d7626593f09bd01f01ff1b00403012"/>
    <w:p>
      <w:pPr>
        <w:pStyle w:val="Heading1"/>
      </w:pPr>
      <w:r>
        <w:t xml:space="preserve">Incident Severity Classification Guide (P0-P4)</w:t>
      </w:r>
    </w:p>
    <w:p>
      <w:pPr>
        <w:pStyle w:val="FirstParagraph"/>
      </w:pPr>
      <w:r>
        <w:t xml:space="preserve">Template 29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Provide the operational guide that converts an incident report into a severity classification, which then drives response cadence, escalation, and notification obligations.</w:t>
      </w:r>
    </w:p>
    <w:p>
      <w:pPr>
        <w:pStyle w:val="BodyText"/>
      </w:pPr>
      <w:r>
        <w:rPr>
          <w:b/>
          <w:bCs/>
        </w:rPr>
        <w:t xml:space="preserve">When to use.</w:t>
      </w:r>
      <w:r>
        <w:t xml:space="preserve"> </w:t>
      </w:r>
      <w:r>
        <w:t xml:space="preserve">At every incident intake. By the on-call AI Incident Commander.</w:t>
      </w:r>
    </w:p>
    <w:p>
      <w:pPr>
        <w:pStyle w:val="BodyText"/>
      </w:pPr>
      <w:r>
        <w:rPr>
          <w:b/>
          <w:bCs/>
        </w:rPr>
        <w:t xml:space="preserve">Where the book explains it.</w:t>
      </w:r>
      <w:r>
        <w:t xml:space="preserve"> </w:t>
      </w:r>
      <w:r>
        <w:t xml:space="preserve">Operationalizes the severity discipline Chapter 15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31" w:name="X9451a1fa5a5dbee02572a993957dcdb5ad69862"/>
    <w:p>
      <w:pPr>
        <w:pStyle w:val="Heading1"/>
      </w:pPr>
      <w:r>
        <w:t xml:space="preserve">AI INCIDENT SEVERITY CLASSIFICATION GUIDE</w:t>
      </w:r>
    </w:p>
    <w:p>
      <w:pPr>
        <w:pStyle w:val="FirstParagraph"/>
      </w:pPr>
      <w:r>
        <w:rPr>
          <w:b/>
          <w:bCs/>
        </w:rPr>
        <w:t xml:space="preserve">Document Reference</w:t>
      </w:r>
      <w:r>
        <w:t xml:space="preserve">: AIR-SEV-001</w:t>
      </w:r>
      <w:r>
        <w:t xml:space="preserve"> </w:t>
      </w:r>
      <w:r>
        <w:rPr>
          <w:b/>
          <w:bCs/>
        </w:rPr>
        <w:t xml:space="preserve">Version</w:t>
      </w:r>
      <w:r>
        <w:t xml:space="preserve">: 1.0</w:t>
      </w:r>
      <w:r>
        <w:t xml:space="preserve"> </w:t>
      </w:r>
      <w:r>
        <w:rPr>
          <w:b/>
          <w:bCs/>
        </w:rPr>
        <w:t xml:space="preserve">Owner</w:t>
      </w:r>
      <w:r>
        <w:t xml:space="preserve">: Head of AI Incident Response</w:t>
      </w:r>
      <w:r>
        <w:t xml:space="preserve"> </w:t>
      </w:r>
      <w:r>
        <w:rPr>
          <w:b/>
          <w:bCs/>
        </w:rPr>
        <w:t xml:space="preserve">Approver</w:t>
      </w:r>
      <w:r>
        <w:t xml:space="preserve">: AI Governance Committee</w:t>
      </w:r>
      <w:r>
        <w:t xml:space="preserve"> </w:t>
      </w:r>
      <w:r>
        <w:rPr>
          <w:b/>
          <w:bCs/>
        </w:rPr>
        <w:t xml:space="preserve">Used by</w:t>
      </w:r>
      <w:r>
        <w:t xml:space="preserve">: On-call AI Incident Commander, Head of AI Incident Response, AI Governance Committee Chair (override authority)</w:t>
      </w:r>
    </w:p>
    <w:p>
      <w:r>
        <w:pict>
          <v:rect style="width:0;height:1.5pt" o:hralign="center" o:hrstd="t" o:hr="t"/>
        </w:pict>
      </w:r>
    </w:p>
    <w:bookmarkStart w:id="10" w:name="section-1-how-to-use-this-guide"/>
    <w:p>
      <w:pPr>
        <w:pStyle w:val="Heading2"/>
      </w:pPr>
      <w:r>
        <w:t xml:space="preserve">Section 1: How to Use This Guide</w:t>
      </w:r>
    </w:p>
    <w:p>
      <w:pPr>
        <w:pStyle w:val="FirstParagraph"/>
      </w:pPr>
      <w:r>
        <w:t xml:space="preserve">The on-call AI Incident Commander uses this guide at incident intake to assign a provisional severity classification within fifteen minutes of detection. The provisional classification triggers the response cadence specified in Section 4 and the escalation chain specified in Section 5. The Head of AI Incident Response confirms or revises the classification within the first hour. The AI Governance Committee Chair holds override authority on any disputed classification.</w:t>
      </w:r>
    </w:p>
    <w:p>
      <w:pPr>
        <w:pStyle w:val="BodyText"/>
      </w:pPr>
      <w:r>
        <w:t xml:space="preserve">Severity classification is conservative. When in doubt between two severity levels, classify at the higher severity. Downgrade only with documented justification.</w:t>
      </w:r>
    </w:p>
    <w:p>
      <w:r>
        <w:pict>
          <v:rect style="width:0;height:1.5pt" o:hralign="center" o:hrstd="t" o:hr="t"/>
        </w:pict>
      </w:r>
    </w:p>
    <w:bookmarkEnd w:id="10"/>
    <w:bookmarkStart w:id="16" w:name="section-2-severity-definitions"/>
    <w:p>
      <w:pPr>
        <w:pStyle w:val="Heading2"/>
      </w:pPr>
      <w:r>
        <w:t xml:space="preserve">Section 2: Severity Definitions</w:t>
      </w:r>
    </w:p>
    <w:bookmarkStart w:id="11" w:name="p0-critical-emergency"/>
    <w:p>
      <w:pPr>
        <w:pStyle w:val="Heading3"/>
      </w:pPr>
      <w:r>
        <w:t xml:space="preserve">P0: Critical Emergency</w:t>
      </w:r>
    </w:p>
    <w:p>
      <w:pPr>
        <w:pStyle w:val="FirstParagraph"/>
      </w:pPr>
      <w:r>
        <w:rPr>
          <w:b/>
          <w:bCs/>
        </w:rPr>
        <w:t xml:space="preserve">Definition</w:t>
      </w:r>
      <w:r>
        <w:t xml:space="preserve">: An AI incident producing or reasonably expected to produce material harm to a significant population of customers, material financial loss to the Institution exceeding [USD threshold], or material regulatory exposure with statutory notification clock active.</w:t>
      </w:r>
    </w:p>
    <w:p>
      <w:pPr>
        <w:pStyle w:val="BodyText"/>
      </w:pPr>
      <w:r>
        <w:rPr>
          <w:b/>
          <w:bCs/>
        </w:rPr>
        <w:t xml:space="preserve">Examples</w:t>
      </w:r>
      <w:r>
        <w:t xml:space="preserve">:</w:t>
      </w:r>
    </w:p>
    <w:p>
      <w:pPr>
        <w:pStyle w:val="Compact"/>
        <w:numPr>
          <w:ilvl w:val="0"/>
          <w:numId w:val="1001"/>
        </w:numPr>
      </w:pPr>
      <w:r>
        <w:t xml:space="preserve">Confirmed data breach exposing personal data of more than 1,000 customers</w:t>
      </w:r>
    </w:p>
    <w:p>
      <w:pPr>
        <w:pStyle w:val="Compact"/>
        <w:numPr>
          <w:ilvl w:val="0"/>
          <w:numId w:val="1001"/>
        </w:numPr>
      </w:pPr>
      <w:r>
        <w:t xml:space="preserve">Production model producing customer-facing decisions outside validated performance envelope affecting more than 500 customers in any 24-hour window</w:t>
      </w:r>
    </w:p>
    <w:p>
      <w:pPr>
        <w:pStyle w:val="Compact"/>
        <w:numPr>
          <w:ilvl w:val="0"/>
          <w:numId w:val="1001"/>
        </w:numPr>
      </w:pPr>
      <w:r>
        <w:t xml:space="preserve">Bias incident with regulatory exposure where disparate outcomes are statistically significant and causally attributable to the model</w:t>
      </w:r>
    </w:p>
    <w:p>
      <w:pPr>
        <w:pStyle w:val="Compact"/>
        <w:numPr>
          <w:ilvl w:val="0"/>
          <w:numId w:val="1001"/>
        </w:numPr>
      </w:pPr>
      <w:r>
        <w:t xml:space="preserve">Hallucination in customer-facing generative AI producing materially false information distributed to customers</w:t>
      </w:r>
    </w:p>
    <w:p>
      <w:pPr>
        <w:pStyle w:val="Compact"/>
        <w:numPr>
          <w:ilvl w:val="0"/>
          <w:numId w:val="1001"/>
        </w:numPr>
      </w:pPr>
      <w:r>
        <w:t xml:space="preserve">Prompt injection compromise of agentic AI resulting in unauthorized actions taken on customer accounts</w:t>
      </w:r>
    </w:p>
    <w:p>
      <w:pPr>
        <w:pStyle w:val="Compact"/>
        <w:numPr>
          <w:ilvl w:val="0"/>
          <w:numId w:val="1001"/>
        </w:numPr>
      </w:pPr>
      <w:r>
        <w:t xml:space="preserve">Vendor compromise affecting institutional data with confirmed exfiltration</w:t>
      </w:r>
    </w:p>
    <w:p>
      <w:pPr>
        <w:pStyle w:val="Compact"/>
        <w:numPr>
          <w:ilvl w:val="0"/>
          <w:numId w:val="1001"/>
        </w:numPr>
      </w:pPr>
      <w:r>
        <w:t xml:space="preserve">Model decision affecting essential customer service (account access, payment processing, fraud determination) producing systematic incorrect outcomes</w:t>
      </w:r>
    </w:p>
    <w:p>
      <w:pPr>
        <w:pStyle w:val="FirstParagraph"/>
      </w:pPr>
      <w:r>
        <w:rPr>
          <w:b/>
          <w:bCs/>
        </w:rPr>
        <w:t xml:space="preserve">Response Profile</w:t>
      </w:r>
      <w:r>
        <w:t xml:space="preserve">: Immediate. All-hands.</w:t>
      </w:r>
    </w:p>
    <w:bookmarkEnd w:id="11"/>
    <w:bookmarkStart w:id="12" w:name="p1-high-severity"/>
    <w:p>
      <w:pPr>
        <w:pStyle w:val="Heading3"/>
      </w:pPr>
      <w:r>
        <w:t xml:space="preserve">P1: High Severity</w:t>
      </w:r>
    </w:p>
    <w:p>
      <w:pPr>
        <w:pStyle w:val="FirstParagraph"/>
      </w:pPr>
      <w:r>
        <w:rPr>
          <w:b/>
          <w:bCs/>
        </w:rPr>
        <w:t xml:space="preserve">Definition</w:t>
      </w:r>
      <w:r>
        <w:t xml:space="preserve">: An AI incident producing or reasonably expected to produce significant harm to a contained customer population, significant institutional risk, or significant regulatory attention without statutory notification clock yet active.</w:t>
      </w:r>
    </w:p>
    <w:p>
      <w:pPr>
        <w:pStyle w:val="BodyText"/>
      </w:pPr>
      <w:r>
        <w:rPr>
          <w:b/>
          <w:bCs/>
        </w:rPr>
        <w:t xml:space="preserve">Examples</w:t>
      </w:r>
      <w:r>
        <w:t xml:space="preserve">:</w:t>
      </w:r>
    </w:p>
    <w:p>
      <w:pPr>
        <w:pStyle w:val="Compact"/>
        <w:numPr>
          <w:ilvl w:val="0"/>
          <w:numId w:val="1002"/>
        </w:numPr>
      </w:pPr>
      <w:r>
        <w:t xml:space="preserve">Confirmed data breach exposing personal data of 100 to 1,000 customers</w:t>
      </w:r>
    </w:p>
    <w:p>
      <w:pPr>
        <w:pStyle w:val="Compact"/>
        <w:numPr>
          <w:ilvl w:val="0"/>
          <w:numId w:val="1002"/>
        </w:numPr>
      </w:pPr>
      <w:r>
        <w:t xml:space="preserve">Production model performance degradation exceeding institutional tolerance affecting 100 to 500 customers in any 24-hour window</w:t>
      </w:r>
    </w:p>
    <w:p>
      <w:pPr>
        <w:pStyle w:val="Compact"/>
        <w:numPr>
          <w:ilvl w:val="0"/>
          <w:numId w:val="1002"/>
        </w:numPr>
      </w:pPr>
      <w:r>
        <w:t xml:space="preserve">Bias indication requiring formal audit and likely committee escalation</w:t>
      </w:r>
    </w:p>
    <w:p>
      <w:pPr>
        <w:pStyle w:val="Compact"/>
        <w:numPr>
          <w:ilvl w:val="0"/>
          <w:numId w:val="1002"/>
        </w:numPr>
      </w:pPr>
      <w:r>
        <w:t xml:space="preserve">Hallucination in customer-facing generative AI producing materially incorrect information delivered to fewer than 50 customers</w:t>
      </w:r>
    </w:p>
    <w:p>
      <w:pPr>
        <w:pStyle w:val="Compact"/>
        <w:numPr>
          <w:ilvl w:val="0"/>
          <w:numId w:val="1002"/>
        </w:numPr>
      </w:pPr>
      <w:r>
        <w:t xml:space="preserve">Vendor service disruption exceeding SLA threshold affecting tier-one or tier-two services</w:t>
      </w:r>
    </w:p>
    <w:p>
      <w:pPr>
        <w:pStyle w:val="Compact"/>
        <w:numPr>
          <w:ilvl w:val="0"/>
          <w:numId w:val="1002"/>
        </w:numPr>
      </w:pPr>
      <w:r>
        <w:t xml:space="preserve">Drift detection at red threshold for tier-one model</w:t>
      </w:r>
    </w:p>
    <w:p>
      <w:pPr>
        <w:pStyle w:val="Compact"/>
        <w:numPr>
          <w:ilvl w:val="0"/>
          <w:numId w:val="1002"/>
        </w:numPr>
      </w:pPr>
      <w:r>
        <w:t xml:space="preserve">Model approval condition breach discovered post-deployment</w:t>
      </w:r>
    </w:p>
    <w:p>
      <w:pPr>
        <w:pStyle w:val="FirstParagraph"/>
      </w:pPr>
      <w:r>
        <w:rPr>
          <w:b/>
          <w:bCs/>
        </w:rPr>
        <w:t xml:space="preserve">Response Profile</w:t>
      </w:r>
      <w:r>
        <w:t xml:space="preserve">: Within one hour. Senior leadership engaged.</w:t>
      </w:r>
    </w:p>
    <w:bookmarkEnd w:id="12"/>
    <w:bookmarkStart w:id="13" w:name="p2-medium-severity"/>
    <w:p>
      <w:pPr>
        <w:pStyle w:val="Heading3"/>
      </w:pPr>
      <w:r>
        <w:t xml:space="preserve">P2: Medium Severity</w:t>
      </w:r>
    </w:p>
    <w:p>
      <w:pPr>
        <w:pStyle w:val="FirstParagraph"/>
      </w:pPr>
      <w:r>
        <w:rPr>
          <w:b/>
          <w:bCs/>
        </w:rPr>
        <w:t xml:space="preserve">Definition</w:t>
      </w:r>
      <w:r>
        <w:t xml:space="preserve">: An AI incident producing limited harm or institutional risk, requiring structured response but not immediate executive attention.</w:t>
      </w:r>
    </w:p>
    <w:p>
      <w:pPr>
        <w:pStyle w:val="BodyText"/>
      </w:pPr>
      <w:r>
        <w:rPr>
          <w:b/>
          <w:bCs/>
        </w:rPr>
        <w:t xml:space="preserve">Examples</w:t>
      </w:r>
      <w:r>
        <w:t xml:space="preserve">:</w:t>
      </w:r>
    </w:p>
    <w:p>
      <w:pPr>
        <w:pStyle w:val="Compact"/>
        <w:numPr>
          <w:ilvl w:val="0"/>
          <w:numId w:val="1003"/>
        </w:numPr>
      </w:pPr>
      <w:r>
        <w:t xml:space="preserve">Confirmed data breach exposing personal data of fewer than 100 customers without sensitive data categories</w:t>
      </w:r>
    </w:p>
    <w:p>
      <w:pPr>
        <w:pStyle w:val="Compact"/>
        <w:numPr>
          <w:ilvl w:val="0"/>
          <w:numId w:val="1003"/>
        </w:numPr>
      </w:pPr>
      <w:r>
        <w:t xml:space="preserve">Production model performance degradation affecting fewer than 100 customers</w:t>
      </w:r>
    </w:p>
    <w:p>
      <w:pPr>
        <w:pStyle w:val="Compact"/>
        <w:numPr>
          <w:ilvl w:val="0"/>
          <w:numId w:val="1003"/>
        </w:numPr>
      </w:pPr>
      <w:r>
        <w:t xml:space="preserve">Drift detection at amber threshold for tier-one or red threshold for tier-two model</w:t>
      </w:r>
    </w:p>
    <w:p>
      <w:pPr>
        <w:pStyle w:val="Compact"/>
        <w:numPr>
          <w:ilvl w:val="0"/>
          <w:numId w:val="1003"/>
        </w:numPr>
      </w:pPr>
      <w:r>
        <w:t xml:space="preserve">Vendor service disruption within SLA tolerance but recurring pattern</w:t>
      </w:r>
    </w:p>
    <w:p>
      <w:pPr>
        <w:pStyle w:val="Compact"/>
        <w:numPr>
          <w:ilvl w:val="0"/>
          <w:numId w:val="1003"/>
        </w:numPr>
      </w:pPr>
      <w:r>
        <w:t xml:space="preserve">Documentation deficiency discovered in routine audit</w:t>
      </w:r>
    </w:p>
    <w:p>
      <w:pPr>
        <w:pStyle w:val="Compact"/>
        <w:numPr>
          <w:ilvl w:val="0"/>
          <w:numId w:val="1003"/>
        </w:numPr>
      </w:pPr>
      <w:r>
        <w:t xml:space="preserve">Sharia recertification gap discovered (Islamic finance institutions)</w:t>
      </w:r>
    </w:p>
    <w:p>
      <w:pPr>
        <w:pStyle w:val="Compact"/>
        <w:numPr>
          <w:ilvl w:val="0"/>
          <w:numId w:val="1003"/>
        </w:numPr>
      </w:pPr>
      <w:r>
        <w:t xml:space="preserve">Validation finding remediation overdue by more than 30 days</w:t>
      </w:r>
    </w:p>
    <w:p>
      <w:pPr>
        <w:pStyle w:val="FirstParagraph"/>
      </w:pPr>
      <w:r>
        <w:rPr>
          <w:b/>
          <w:bCs/>
        </w:rPr>
        <w:t xml:space="preserve">Response Profile</w:t>
      </w:r>
      <w:r>
        <w:t xml:space="preserve">: Within four hours. AI Governance Office leads.</w:t>
      </w:r>
    </w:p>
    <w:bookmarkEnd w:id="13"/>
    <w:bookmarkStart w:id="14" w:name="p3-low-severity"/>
    <w:p>
      <w:pPr>
        <w:pStyle w:val="Heading3"/>
      </w:pPr>
      <w:r>
        <w:t xml:space="preserve">P3: Low Severity</w:t>
      </w:r>
    </w:p>
    <w:p>
      <w:pPr>
        <w:pStyle w:val="FirstParagraph"/>
      </w:pPr>
      <w:r>
        <w:rPr>
          <w:b/>
          <w:bCs/>
        </w:rPr>
        <w:t xml:space="preserve">Definition</w:t>
      </w:r>
      <w:r>
        <w:t xml:space="preserve">: An AI incident with minimal customer or institutional impact, addressable through standard operational response.</w:t>
      </w:r>
    </w:p>
    <w:p>
      <w:pPr>
        <w:pStyle w:val="BodyText"/>
      </w:pPr>
      <w:r>
        <w:rPr>
          <w:b/>
          <w:bCs/>
        </w:rPr>
        <w:t xml:space="preserve">Examples</w:t>
      </w:r>
      <w:r>
        <w:t xml:space="preserve">:</w:t>
      </w:r>
    </w:p>
    <w:p>
      <w:pPr>
        <w:pStyle w:val="Compact"/>
        <w:numPr>
          <w:ilvl w:val="0"/>
          <w:numId w:val="1004"/>
        </w:numPr>
      </w:pPr>
      <w:r>
        <w:t xml:space="preserve">Single-customer model decision producing incorrect outcome with available recourse</w:t>
      </w:r>
    </w:p>
    <w:p>
      <w:pPr>
        <w:pStyle w:val="Compact"/>
        <w:numPr>
          <w:ilvl w:val="0"/>
          <w:numId w:val="1004"/>
        </w:numPr>
      </w:pPr>
      <w:r>
        <w:t xml:space="preserve">Documentation update required from upstream policy change</w:t>
      </w:r>
    </w:p>
    <w:p>
      <w:pPr>
        <w:pStyle w:val="Compact"/>
        <w:numPr>
          <w:ilvl w:val="0"/>
          <w:numId w:val="1004"/>
        </w:numPr>
      </w:pPr>
      <w:r>
        <w:t xml:space="preserve">Drift detection at amber threshold for tier-two or red threshold for tier-three model</w:t>
      </w:r>
    </w:p>
    <w:p>
      <w:pPr>
        <w:pStyle w:val="Compact"/>
        <w:numPr>
          <w:ilvl w:val="0"/>
          <w:numId w:val="1004"/>
        </w:numPr>
      </w:pPr>
      <w:r>
        <w:t xml:space="preserve">Vendor performance issue isolated to single incident</w:t>
      </w:r>
    </w:p>
    <w:p>
      <w:pPr>
        <w:pStyle w:val="Compact"/>
        <w:numPr>
          <w:ilvl w:val="0"/>
          <w:numId w:val="1004"/>
        </w:numPr>
      </w:pPr>
      <w:r>
        <w:t xml:space="preserve">KRI in amber state without trend deterioration</w:t>
      </w:r>
    </w:p>
    <w:p>
      <w:pPr>
        <w:pStyle w:val="FirstParagraph"/>
      </w:pPr>
      <w:r>
        <w:rPr>
          <w:b/>
          <w:bCs/>
        </w:rPr>
        <w:t xml:space="preserve">Response Profile</w:t>
      </w:r>
      <w:r>
        <w:t xml:space="preserve">: Within one business day. Operational team leads.</w:t>
      </w:r>
    </w:p>
    <w:bookmarkEnd w:id="14"/>
    <w:bookmarkStart w:id="15" w:name="p4-observation"/>
    <w:p>
      <w:pPr>
        <w:pStyle w:val="Heading3"/>
      </w:pPr>
      <w:r>
        <w:t xml:space="preserve">P4: Observation</w:t>
      </w:r>
    </w:p>
    <w:p>
      <w:pPr>
        <w:pStyle w:val="FirstParagraph"/>
      </w:pPr>
      <w:r>
        <w:rPr>
          <w:b/>
          <w:bCs/>
        </w:rPr>
        <w:t xml:space="preserve">Definition</w:t>
      </w:r>
      <w:r>
        <w:t xml:space="preserve">: An event of governance interest that does not yet meet incident criteria but warrants documentation.</w:t>
      </w:r>
    </w:p>
    <w:p>
      <w:pPr>
        <w:pStyle w:val="BodyText"/>
      </w:pPr>
      <w:r>
        <w:rPr>
          <w:b/>
          <w:bCs/>
        </w:rPr>
        <w:t xml:space="preserve">Examples</w:t>
      </w:r>
      <w:r>
        <w:t xml:space="preserve">:</w:t>
      </w:r>
    </w:p>
    <w:p>
      <w:pPr>
        <w:pStyle w:val="Compact"/>
        <w:numPr>
          <w:ilvl w:val="0"/>
          <w:numId w:val="1005"/>
        </w:numPr>
      </w:pPr>
      <w:r>
        <w:t xml:space="preserve">KRI trend approaching amber threshold</w:t>
      </w:r>
    </w:p>
    <w:p>
      <w:pPr>
        <w:pStyle w:val="Compact"/>
        <w:numPr>
          <w:ilvl w:val="0"/>
          <w:numId w:val="1005"/>
        </w:numPr>
      </w:pPr>
      <w:r>
        <w:t xml:space="preserve">Vendor performance trend warranting attention without breach</w:t>
      </w:r>
    </w:p>
    <w:p>
      <w:pPr>
        <w:pStyle w:val="Compact"/>
        <w:numPr>
          <w:ilvl w:val="0"/>
          <w:numId w:val="1005"/>
        </w:numPr>
      </w:pPr>
      <w:r>
        <w:t xml:space="preserve">Regulatory horizon item warranting future action</w:t>
      </w:r>
    </w:p>
    <w:p>
      <w:pPr>
        <w:pStyle w:val="Compact"/>
        <w:numPr>
          <w:ilvl w:val="0"/>
          <w:numId w:val="1005"/>
        </w:numPr>
      </w:pPr>
      <w:r>
        <w:t xml:space="preserve">Lessons-learned observation from external incident at peer institution</w:t>
      </w:r>
    </w:p>
    <w:p>
      <w:pPr>
        <w:pStyle w:val="Compact"/>
        <w:numPr>
          <w:ilvl w:val="0"/>
          <w:numId w:val="1005"/>
        </w:numPr>
      </w:pPr>
      <w:r>
        <w:t xml:space="preserve">Operator question revealing potential training gap</w:t>
      </w:r>
    </w:p>
    <w:p>
      <w:pPr>
        <w:pStyle w:val="FirstParagraph"/>
      </w:pPr>
      <w:r>
        <w:rPr>
          <w:b/>
          <w:bCs/>
        </w:rPr>
        <w:t xml:space="preserve">Response Profile</w:t>
      </w:r>
      <w:r>
        <w:t xml:space="preserve">: Next governance forum review.</w:t>
      </w:r>
    </w:p>
    <w:p>
      <w:r>
        <w:pict>
          <v:rect style="width:0;height:1.5pt" o:hralign="center" o:hrstd="t" o:hr="t"/>
        </w:pict>
      </w:r>
    </w:p>
    <w:bookmarkEnd w:id="15"/>
    <w:bookmarkEnd w:id="16"/>
    <w:bookmarkStart w:id="17" w:name="section-3-severity-classification-matrix"/>
    <w:p>
      <w:pPr>
        <w:pStyle w:val="Heading2"/>
      </w:pPr>
      <w:r>
        <w:t xml:space="preserve">Section 3: Severity Classification Matrix</w:t>
      </w:r>
    </w:p>
    <w:p>
      <w:pPr>
        <w:pStyle w:val="FirstParagraph"/>
      </w:pPr>
      <w:r>
        <w:t xml:space="preserve">Use the matrix below when severity is not obvious from the examples in Section 2. Assess each dimension and take the highest severity that any dimension triggers.</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Dimension</w:t>
            </w:r>
          </w:p>
        </w:tc>
        <w:tc>
          <w:tcPr/>
          <w:p>
            <w:pPr>
              <w:pStyle w:val="Compact"/>
            </w:pPr>
            <w:r>
              <w:t xml:space="preserve">P0</w:t>
            </w:r>
          </w:p>
        </w:tc>
        <w:tc>
          <w:tcPr/>
          <w:p>
            <w:pPr>
              <w:pStyle w:val="Compact"/>
            </w:pPr>
            <w:r>
              <w:t xml:space="preserve">P1</w:t>
            </w:r>
          </w:p>
        </w:tc>
        <w:tc>
          <w:tcPr/>
          <w:p>
            <w:pPr>
              <w:pStyle w:val="Compact"/>
            </w:pPr>
            <w:r>
              <w:t xml:space="preserve">P2</w:t>
            </w:r>
          </w:p>
        </w:tc>
        <w:tc>
          <w:tcPr/>
          <w:p>
            <w:pPr>
              <w:pStyle w:val="Compact"/>
            </w:pPr>
            <w:r>
              <w:t xml:space="preserve">P3</w:t>
            </w:r>
          </w:p>
        </w:tc>
        <w:tc>
          <w:tcPr/>
          <w:p>
            <w:pPr>
              <w:pStyle w:val="Compact"/>
            </w:pPr>
            <w:r>
              <w:t xml:space="preserve">P4</w:t>
            </w:r>
          </w:p>
        </w:tc>
      </w:tr>
      <w:tr>
        <w:tc>
          <w:tcPr/>
          <w:p>
            <w:pPr>
              <w:pStyle w:val="Compact"/>
            </w:pPr>
            <w:r>
              <w:t xml:space="preserve">Customer Impact (count affected)</w:t>
            </w:r>
          </w:p>
        </w:tc>
        <w:tc>
          <w:tcPr/>
          <w:p>
            <w:pPr>
              <w:pStyle w:val="Compact"/>
            </w:pPr>
            <w:r>
              <w:t xml:space="preserve">&gt;500 in 24h or &gt;1,000 total</w:t>
            </w:r>
          </w:p>
        </w:tc>
        <w:tc>
          <w:tcPr/>
          <w:p>
            <w:pPr>
              <w:pStyle w:val="Compact"/>
            </w:pPr>
            <w:r>
              <w:t xml:space="preserve">100-500 in 24h</w:t>
            </w:r>
          </w:p>
        </w:tc>
        <w:tc>
          <w:tcPr/>
          <w:p>
            <w:pPr>
              <w:pStyle w:val="Compact"/>
            </w:pPr>
            <w:r>
              <w:t xml:space="preserve">&lt;100</w:t>
            </w:r>
          </w:p>
        </w:tc>
        <w:tc>
          <w:tcPr/>
          <w:p>
            <w:pPr>
              <w:pStyle w:val="Compact"/>
            </w:pPr>
            <w:r>
              <w:t xml:space="preserve">Single customer</w:t>
            </w:r>
          </w:p>
        </w:tc>
        <w:tc>
          <w:tcPr/>
          <w:p>
            <w:pPr>
              <w:pStyle w:val="Compact"/>
            </w:pPr>
            <w:r>
              <w:t xml:space="preserve">None directly</w:t>
            </w:r>
          </w:p>
        </w:tc>
      </w:tr>
      <w:tr>
        <w:tc>
          <w:tcPr/>
          <w:p>
            <w:pPr>
              <w:pStyle w:val="Compact"/>
            </w:pPr>
            <w:r>
              <w:t xml:space="preserve">Customer Impact (severity per customer)</w:t>
            </w:r>
          </w:p>
        </w:tc>
        <w:tc>
          <w:tcPr/>
          <w:p>
            <w:pPr>
              <w:pStyle w:val="Compact"/>
            </w:pPr>
            <w:r>
              <w:t xml:space="preserve">Material financial or essential service</w:t>
            </w:r>
          </w:p>
        </w:tc>
        <w:tc>
          <w:tcPr/>
          <w:p>
            <w:pPr>
              <w:pStyle w:val="Compact"/>
            </w:pPr>
            <w:r>
              <w:t xml:space="preserve">Significant adverse</w:t>
            </w:r>
          </w:p>
        </w:tc>
        <w:tc>
          <w:tcPr/>
          <w:p>
            <w:pPr>
              <w:pStyle w:val="Compact"/>
            </w:pPr>
            <w:r>
              <w:t xml:space="preserve">Limited adverse</w:t>
            </w:r>
          </w:p>
        </w:tc>
        <w:tc>
          <w:tcPr/>
          <w:p>
            <w:pPr>
              <w:pStyle w:val="Compact"/>
            </w:pPr>
            <w:r>
              <w:t xml:space="preserve">Minor</w:t>
            </w:r>
          </w:p>
        </w:tc>
        <w:tc>
          <w:tcPr/>
          <w:p>
            <w:pPr>
              <w:pStyle w:val="Compact"/>
            </w:pPr>
            <w:r>
              <w:t xml:space="preserve">None</w:t>
            </w:r>
          </w:p>
        </w:tc>
      </w:tr>
      <w:tr>
        <w:tc>
          <w:tcPr/>
          <w:p>
            <w:pPr>
              <w:pStyle w:val="Compact"/>
            </w:pPr>
            <w:r>
              <w:t xml:space="preserve">Data Exposure</w:t>
            </w:r>
          </w:p>
        </w:tc>
        <w:tc>
          <w:tcPr/>
          <w:p>
            <w:pPr>
              <w:pStyle w:val="Compact"/>
            </w:pPr>
            <w:r>
              <w:t xml:space="preserve">&gt;1,000 PII records or any sensitive PII</w:t>
            </w:r>
          </w:p>
        </w:tc>
        <w:tc>
          <w:tcPr/>
          <w:p>
            <w:pPr>
              <w:pStyle w:val="Compact"/>
            </w:pPr>
            <w:r>
              <w:t xml:space="preserve">100-1,000 PII records</w:t>
            </w:r>
          </w:p>
        </w:tc>
        <w:tc>
          <w:tcPr/>
          <w:p>
            <w:pPr>
              <w:pStyle w:val="Compact"/>
            </w:pPr>
            <w:r>
              <w:t xml:space="preserve">&lt;100 PII non-sensitive</w:t>
            </w:r>
          </w:p>
        </w:tc>
        <w:tc>
          <w:tcPr/>
          <w:p>
            <w:pPr>
              <w:pStyle w:val="Compact"/>
            </w:pPr>
            <w:r>
              <w:t xml:space="preserve">None</w:t>
            </w:r>
          </w:p>
        </w:tc>
        <w:tc>
          <w:tcPr/>
          <w:p>
            <w:pPr>
              <w:pStyle w:val="Compact"/>
            </w:pPr>
            <w:r>
              <w:t xml:space="preserve">None</w:t>
            </w:r>
          </w:p>
        </w:tc>
      </w:tr>
      <w:tr>
        <w:tc>
          <w:tcPr/>
          <w:p>
            <w:pPr>
              <w:pStyle w:val="Compact"/>
            </w:pPr>
            <w:r>
              <w:t xml:space="preserve">Regulatory Clock</w:t>
            </w:r>
          </w:p>
        </w:tc>
        <w:tc>
          <w:tcPr/>
          <w:p>
            <w:pPr>
              <w:pStyle w:val="Compact"/>
            </w:pPr>
            <w:r>
              <w:t xml:space="preserve">Statutory deadline active</w:t>
            </w:r>
          </w:p>
        </w:tc>
        <w:tc>
          <w:tcPr/>
          <w:p>
            <w:pPr>
              <w:pStyle w:val="Compact"/>
            </w:pPr>
            <w:r>
              <w:t xml:space="preserve">Likely activation</w:t>
            </w:r>
          </w:p>
        </w:tc>
        <w:tc>
          <w:tcPr/>
          <w:p>
            <w:pPr>
              <w:pStyle w:val="Compact"/>
            </w:pPr>
            <w:r>
              <w:t xml:space="preserve">Notification consideration</w:t>
            </w:r>
          </w:p>
        </w:tc>
        <w:tc>
          <w:tcPr/>
          <w:p>
            <w:pPr>
              <w:pStyle w:val="Compact"/>
            </w:pPr>
            <w:r>
              <w:t xml:space="preserve">None</w:t>
            </w:r>
          </w:p>
        </w:tc>
        <w:tc>
          <w:tcPr/>
          <w:p>
            <w:pPr>
              <w:pStyle w:val="Compact"/>
            </w:pPr>
            <w:r>
              <w:t xml:space="preserve">None</w:t>
            </w:r>
          </w:p>
        </w:tc>
      </w:tr>
      <w:tr>
        <w:tc>
          <w:tcPr/>
          <w:p>
            <w:pPr>
              <w:pStyle w:val="Compact"/>
            </w:pPr>
            <w:r>
              <w:t xml:space="preserve">Financial Loss</w:t>
            </w:r>
          </w:p>
        </w:tc>
        <w:tc>
          <w:tcPr/>
          <w:p>
            <w:pPr>
              <w:pStyle w:val="Compact"/>
            </w:pPr>
            <w:r>
              <w:t xml:space="preserve">&gt;[USD threshold]</w:t>
            </w:r>
          </w:p>
        </w:tc>
        <w:tc>
          <w:tcPr/>
          <w:p>
            <w:pPr>
              <w:pStyle w:val="Compact"/>
            </w:pPr>
            <w:r>
              <w:t xml:space="preserve">[Threshold]</w:t>
            </w:r>
          </w:p>
        </w:tc>
        <w:tc>
          <w:tcPr/>
          <w:p>
            <w:pPr>
              <w:pStyle w:val="Compact"/>
            </w:pPr>
            <w:r>
              <w:t xml:space="preserve">[Threshold]</w:t>
            </w:r>
          </w:p>
        </w:tc>
        <w:tc>
          <w:tcPr/>
          <w:p>
            <w:pPr>
              <w:pStyle w:val="Compact"/>
            </w:pPr>
            <w:r>
              <w:t xml:space="preserve">&lt;[Threshold]</w:t>
            </w:r>
          </w:p>
        </w:tc>
        <w:tc>
          <w:tcPr/>
          <w:p>
            <w:pPr>
              <w:pStyle w:val="Compact"/>
            </w:pPr>
            <w:r>
              <w:t xml:space="preserve">None</w:t>
            </w:r>
          </w:p>
        </w:tc>
      </w:tr>
      <w:tr>
        <w:tc>
          <w:tcPr/>
          <w:p>
            <w:pPr>
              <w:pStyle w:val="Compact"/>
            </w:pPr>
            <w:r>
              <w:t xml:space="preserve">Reputational Risk</w:t>
            </w:r>
          </w:p>
        </w:tc>
        <w:tc>
          <w:tcPr/>
          <w:p>
            <w:pPr>
              <w:pStyle w:val="Compact"/>
            </w:pPr>
            <w:r>
              <w:t xml:space="preserve">Media coverage likely</w:t>
            </w:r>
          </w:p>
        </w:tc>
        <w:tc>
          <w:tcPr/>
          <w:p>
            <w:pPr>
              <w:pStyle w:val="Compact"/>
            </w:pPr>
            <w:r>
              <w:t xml:space="preserve">Customer complaints likely</w:t>
            </w:r>
          </w:p>
        </w:tc>
        <w:tc>
          <w:tcPr/>
          <w:p>
            <w:pPr>
              <w:pStyle w:val="Compact"/>
            </w:pPr>
            <w:r>
              <w:t xml:space="preserve">Internal stakeholder concern</w:t>
            </w:r>
          </w:p>
        </w:tc>
        <w:tc>
          <w:tcPr/>
          <w:p>
            <w:pPr>
              <w:pStyle w:val="Compact"/>
            </w:pPr>
            <w:r>
              <w:t xml:space="preserve">Limited</w:t>
            </w:r>
          </w:p>
        </w:tc>
        <w:tc>
          <w:tcPr/>
          <w:p>
            <w:pPr>
              <w:pStyle w:val="Compact"/>
            </w:pPr>
            <w:r>
              <w:t xml:space="preserve">None</w:t>
            </w:r>
          </w:p>
        </w:tc>
      </w:tr>
      <w:tr>
        <w:tc>
          <w:tcPr/>
          <w:p>
            <w:pPr>
              <w:pStyle w:val="Compact"/>
            </w:pPr>
            <w:r>
              <w:t xml:space="preserve">Sharia Compliance</w:t>
            </w:r>
          </w:p>
        </w:tc>
        <w:tc>
          <w:tcPr/>
          <w:p>
            <w:pPr>
              <w:pStyle w:val="Compact"/>
            </w:pPr>
            <w:r>
              <w:t xml:space="preserve">Material breach</w:t>
            </w:r>
          </w:p>
        </w:tc>
        <w:tc>
          <w:tcPr/>
          <w:p>
            <w:pPr>
              <w:pStyle w:val="Compact"/>
            </w:pPr>
            <w:r>
              <w:t xml:space="preserve">Significant gap</w:t>
            </w:r>
          </w:p>
        </w:tc>
        <w:tc>
          <w:tcPr/>
          <w:p>
            <w:pPr>
              <w:pStyle w:val="Compact"/>
            </w:pPr>
            <w:r>
              <w:t xml:space="preserve">Limited gap</w:t>
            </w:r>
          </w:p>
        </w:tc>
        <w:tc>
          <w:tcPr/>
          <w:p>
            <w:pPr>
              <w:pStyle w:val="Compact"/>
            </w:pPr>
            <w:r>
              <w:t xml:space="preserve">Documentation gap</w:t>
            </w:r>
          </w:p>
        </w:tc>
        <w:tc>
          <w:tcPr/>
          <w:p>
            <w:pPr>
              <w:pStyle w:val="Compact"/>
            </w:pPr>
            <w:r>
              <w:t xml:space="preserve">Observation</w:t>
            </w:r>
          </w:p>
        </w:tc>
      </w:tr>
      <w:tr>
        <w:tc>
          <w:tcPr/>
          <w:p>
            <w:pPr>
              <w:pStyle w:val="Compact"/>
            </w:pPr>
            <w:r>
              <w:t xml:space="preserve">Bias Exposure</w:t>
            </w:r>
          </w:p>
        </w:tc>
        <w:tc>
          <w:tcPr/>
          <w:p>
            <w:pPr>
              <w:pStyle w:val="Compact"/>
            </w:pPr>
            <w:r>
              <w:t xml:space="preserve">Statistically significant disparate impact in tier-1 model</w:t>
            </w:r>
          </w:p>
        </w:tc>
        <w:tc>
          <w:tcPr/>
          <w:p>
            <w:pPr>
              <w:pStyle w:val="Compact"/>
            </w:pPr>
            <w:r>
              <w:t xml:space="preserve">Indication requiring audit</w:t>
            </w:r>
          </w:p>
        </w:tc>
        <w:tc>
          <w:tcPr/>
          <w:p>
            <w:pPr>
              <w:pStyle w:val="Compact"/>
            </w:pPr>
            <w:r>
              <w:t xml:space="preserve">Documentation gap</w:t>
            </w:r>
          </w:p>
        </w:tc>
        <w:tc>
          <w:tcPr/>
          <w:p>
            <w:pPr>
              <w:pStyle w:val="Compact"/>
            </w:pPr>
            <w:r>
              <w:t xml:space="preserve">Minor metric variance</w:t>
            </w:r>
          </w:p>
        </w:tc>
        <w:tc>
          <w:tcPr/>
          <w:p>
            <w:pPr>
              <w:pStyle w:val="Compact"/>
            </w:pPr>
            <w:r>
              <w:t xml:space="preserve">Trend observation</w:t>
            </w:r>
          </w:p>
        </w:tc>
      </w:tr>
    </w:tbl>
    <w:p>
      <w:pPr>
        <w:pStyle w:val="BodyText"/>
      </w:pPr>
      <w:r>
        <w:rPr>
          <w:b/>
          <w:bCs/>
        </w:rPr>
        <w:t xml:space="preserve">Maximum-Dimension Rule</w:t>
      </w:r>
      <w:r>
        <w:t xml:space="preserve">: Classify at the severity of the highest-rated dimension.</w:t>
      </w:r>
    </w:p>
    <w:p>
      <w:r>
        <w:pict>
          <v:rect style="width:0;height:1.5pt" o:hralign="center" o:hrstd="t" o:hr="t"/>
        </w:pict>
      </w:r>
    </w:p>
    <w:bookmarkEnd w:id="17"/>
    <w:bookmarkStart w:id="18" w:name="section-4-response-cadence-by-severity"/>
    <w:p>
      <w:pPr>
        <w:pStyle w:val="Heading2"/>
      </w:pPr>
      <w:r>
        <w:t xml:space="preserve">Section 4: Response Cadence by Severity</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Element</w:t>
            </w:r>
          </w:p>
        </w:tc>
        <w:tc>
          <w:tcPr/>
          <w:p>
            <w:pPr>
              <w:pStyle w:val="Compact"/>
            </w:pPr>
            <w:r>
              <w:t xml:space="preserve">P0</w:t>
            </w:r>
          </w:p>
        </w:tc>
        <w:tc>
          <w:tcPr/>
          <w:p>
            <w:pPr>
              <w:pStyle w:val="Compact"/>
            </w:pPr>
            <w:r>
              <w:t xml:space="preserve">P1</w:t>
            </w:r>
          </w:p>
        </w:tc>
        <w:tc>
          <w:tcPr/>
          <w:p>
            <w:pPr>
              <w:pStyle w:val="Compact"/>
            </w:pPr>
            <w:r>
              <w:t xml:space="preserve">P2</w:t>
            </w:r>
          </w:p>
        </w:tc>
        <w:tc>
          <w:tcPr/>
          <w:p>
            <w:pPr>
              <w:pStyle w:val="Compact"/>
            </w:pPr>
            <w:r>
              <w:t xml:space="preserve">P3</w:t>
            </w:r>
          </w:p>
        </w:tc>
        <w:tc>
          <w:tcPr/>
          <w:p>
            <w:pPr>
              <w:pStyle w:val="Compact"/>
            </w:pPr>
            <w:r>
              <w:t xml:space="preserve">P4</w:t>
            </w:r>
          </w:p>
        </w:tc>
      </w:tr>
      <w:tr>
        <w:tc>
          <w:tcPr/>
          <w:p>
            <w:pPr>
              <w:pStyle w:val="Compact"/>
            </w:pPr>
            <w:r>
              <w:t xml:space="preserve">Initial Notification to Head of AI Incident Response</w:t>
            </w:r>
          </w:p>
        </w:tc>
        <w:tc>
          <w:tcPr/>
          <w:p>
            <w:pPr>
              <w:pStyle w:val="Compact"/>
            </w:pPr>
            <w:r>
              <w:t xml:space="preserve">Within 15 min</w:t>
            </w:r>
          </w:p>
        </w:tc>
        <w:tc>
          <w:tcPr/>
          <w:p>
            <w:pPr>
              <w:pStyle w:val="Compact"/>
            </w:pPr>
            <w:r>
              <w:t xml:space="preserve">Within 30 min</w:t>
            </w:r>
          </w:p>
        </w:tc>
        <w:tc>
          <w:tcPr/>
          <w:p>
            <w:pPr>
              <w:pStyle w:val="Compact"/>
            </w:pPr>
            <w:r>
              <w:t xml:space="preserve">Within 2 hours</w:t>
            </w:r>
          </w:p>
        </w:tc>
        <w:tc>
          <w:tcPr/>
          <w:p>
            <w:pPr>
              <w:pStyle w:val="Compact"/>
            </w:pPr>
            <w:r>
              <w:t xml:space="preserve">Within 1 business day</w:t>
            </w:r>
          </w:p>
        </w:tc>
        <w:tc>
          <w:tcPr/>
          <w:p>
            <w:pPr>
              <w:pStyle w:val="Compact"/>
            </w:pPr>
            <w:r>
              <w:t xml:space="preserve">Next forum</w:t>
            </w:r>
          </w:p>
        </w:tc>
      </w:tr>
      <w:tr>
        <w:tc>
          <w:tcPr/>
          <w:p>
            <w:pPr>
              <w:pStyle w:val="Compact"/>
            </w:pPr>
            <w:r>
              <w:t xml:space="preserve">Incident Bridge Opened</w:t>
            </w:r>
          </w:p>
        </w:tc>
        <w:tc>
          <w:tcPr/>
          <w:p>
            <w:pPr>
              <w:pStyle w:val="Compact"/>
            </w:pPr>
            <w:r>
              <w:t xml:space="preserve">Immediately</w:t>
            </w:r>
          </w:p>
        </w:tc>
        <w:tc>
          <w:tcPr/>
          <w:p>
            <w:pPr>
              <w:pStyle w:val="Compact"/>
            </w:pPr>
            <w:r>
              <w:t xml:space="preserve">Within 1 hour</w:t>
            </w:r>
          </w:p>
        </w:tc>
        <w:tc>
          <w:tcPr/>
          <w:p>
            <w:pPr>
              <w:pStyle w:val="Compact"/>
            </w:pPr>
            <w:r>
              <w:t xml:space="preserve">Within 4 hours</w:t>
            </w:r>
          </w:p>
        </w:tc>
        <w:tc>
          <w:tcPr/>
          <w:p>
            <w:pPr>
              <w:pStyle w:val="Compact"/>
            </w:pPr>
            <w:r>
              <w:t xml:space="preserve">Not required</w:t>
            </w:r>
          </w:p>
        </w:tc>
        <w:tc>
          <w:tcPr/>
          <w:p>
            <w:pPr>
              <w:pStyle w:val="Compact"/>
            </w:pPr>
            <w:r>
              <w:t xml:space="preserve">Not required</w:t>
            </w:r>
          </w:p>
        </w:tc>
      </w:tr>
      <w:tr>
        <w:tc>
          <w:tcPr/>
          <w:p>
            <w:pPr>
              <w:pStyle w:val="Compact"/>
            </w:pPr>
            <w:r>
              <w:t xml:space="preserve">Internal Communications Cadence</w:t>
            </w:r>
          </w:p>
        </w:tc>
        <w:tc>
          <w:tcPr/>
          <w:p>
            <w:pPr>
              <w:pStyle w:val="Compact"/>
            </w:pPr>
            <w:r>
              <w:t xml:space="preserve">Every 30 min for first 4 hours; hourly for next 12</w:t>
            </w:r>
          </w:p>
        </w:tc>
        <w:tc>
          <w:tcPr/>
          <w:p>
            <w:pPr>
              <w:pStyle w:val="Compact"/>
            </w:pPr>
            <w:r>
              <w:t xml:space="preserve">Hourly for first 12 hours; every 4 hours next 24</w:t>
            </w:r>
          </w:p>
        </w:tc>
        <w:tc>
          <w:tcPr/>
          <w:p>
            <w:pPr>
              <w:pStyle w:val="Compact"/>
            </w:pPr>
            <w:r>
              <w:t xml:space="preserve">Every 4 hours for first 24 hours; daily next 7</w:t>
            </w:r>
          </w:p>
        </w:tc>
        <w:tc>
          <w:tcPr/>
          <w:p>
            <w:pPr>
              <w:pStyle w:val="Compact"/>
            </w:pPr>
            <w:r>
              <w:t xml:space="preserve">Daily until resolution</w:t>
            </w:r>
          </w:p>
        </w:tc>
        <w:tc>
          <w:tcPr/>
          <w:p>
            <w:pPr>
              <w:pStyle w:val="Compact"/>
            </w:pPr>
            <w:r>
              <w:t xml:space="preserve">None</w:t>
            </w:r>
          </w:p>
        </w:tc>
      </w:tr>
      <w:tr>
        <w:tc>
          <w:tcPr/>
          <w:p>
            <w:pPr>
              <w:pStyle w:val="Compact"/>
            </w:pPr>
            <w:r>
              <w:t xml:space="preserve">Customer Notification Window</w:t>
            </w:r>
          </w:p>
        </w:tc>
        <w:tc>
          <w:tcPr/>
          <w:p>
            <w:pPr>
              <w:pStyle w:val="Compact"/>
            </w:pPr>
            <w:r>
              <w:t xml:space="preserve">Within 24 hours of containment</w:t>
            </w:r>
          </w:p>
        </w:tc>
        <w:tc>
          <w:tcPr/>
          <w:p>
            <w:pPr>
              <w:pStyle w:val="Compact"/>
            </w:pPr>
            <w:r>
              <w:t xml:space="preserve">Within 72 hours</w:t>
            </w:r>
          </w:p>
        </w:tc>
        <w:tc>
          <w:tcPr/>
          <w:p>
            <w:pPr>
              <w:pStyle w:val="Compact"/>
            </w:pPr>
            <w:r>
              <w:t xml:space="preserve">As required</w:t>
            </w:r>
          </w:p>
        </w:tc>
        <w:tc>
          <w:tcPr/>
          <w:p>
            <w:pPr>
              <w:pStyle w:val="Compact"/>
            </w:pPr>
            <w:r>
              <w:t xml:space="preserve">Not required typically</w:t>
            </w:r>
          </w:p>
        </w:tc>
        <w:tc>
          <w:tcPr/>
          <w:p>
            <w:pPr>
              <w:pStyle w:val="Compact"/>
            </w:pPr>
            <w:r>
              <w:t xml:space="preserve">Not required</w:t>
            </w:r>
          </w:p>
        </w:tc>
      </w:tr>
      <w:tr>
        <w:tc>
          <w:tcPr/>
          <w:p>
            <w:pPr>
              <w:pStyle w:val="Compact"/>
            </w:pPr>
            <w:r>
              <w:t xml:space="preserve">Regulatory Notification</w:t>
            </w:r>
          </w:p>
        </w:tc>
        <w:tc>
          <w:tcPr/>
          <w:p>
            <w:pPr>
              <w:pStyle w:val="Compact"/>
            </w:pPr>
            <w:r>
              <w:t xml:space="preserve">Within statutory deadline (typically 72h)</w:t>
            </w:r>
          </w:p>
        </w:tc>
        <w:tc>
          <w:tcPr/>
          <w:p>
            <w:pPr>
              <w:pStyle w:val="Compact"/>
            </w:pPr>
            <w:r>
              <w:t xml:space="preserve">Evaluate against deadline</w:t>
            </w:r>
          </w:p>
        </w:tc>
        <w:tc>
          <w:tcPr/>
          <w:p>
            <w:pPr>
              <w:pStyle w:val="Compact"/>
            </w:pPr>
            <w:r>
              <w:t xml:space="preserve">Evaluate</w:t>
            </w:r>
          </w:p>
        </w:tc>
        <w:tc>
          <w:tcPr/>
          <w:p>
            <w:pPr>
              <w:pStyle w:val="Compact"/>
            </w:pPr>
            <w:r>
              <w:t xml:space="preserve">Not required typically</w:t>
            </w:r>
          </w:p>
        </w:tc>
        <w:tc>
          <w:tcPr/>
          <w:p>
            <w:pPr>
              <w:pStyle w:val="Compact"/>
            </w:pPr>
            <w:r>
              <w:t xml:space="preserve">Not required</w:t>
            </w:r>
          </w:p>
        </w:tc>
      </w:tr>
      <w:tr>
        <w:tc>
          <w:tcPr/>
          <w:p>
            <w:pPr>
              <w:pStyle w:val="Compact"/>
            </w:pPr>
            <w:r>
              <w:t xml:space="preserve">Executive Briefing</w:t>
            </w:r>
          </w:p>
        </w:tc>
        <w:tc>
          <w:tcPr/>
          <w:p>
            <w:pPr>
              <w:pStyle w:val="Compact"/>
            </w:pPr>
            <w:r>
              <w:t xml:space="preserve">CEO within 4 hours</w:t>
            </w:r>
          </w:p>
        </w:tc>
        <w:tc>
          <w:tcPr/>
          <w:p>
            <w:pPr>
              <w:pStyle w:val="Compact"/>
            </w:pPr>
            <w:r>
              <w:t xml:space="preserve">CRO within 8 hours</w:t>
            </w:r>
          </w:p>
        </w:tc>
        <w:tc>
          <w:tcPr/>
          <w:p>
            <w:pPr>
              <w:pStyle w:val="Compact"/>
            </w:pPr>
            <w:r>
              <w:t xml:space="preserve">Head of AI Governance within 1 business day</w:t>
            </w:r>
          </w:p>
        </w:tc>
        <w:tc>
          <w:tcPr/>
          <w:p>
            <w:pPr>
              <w:pStyle w:val="Compact"/>
            </w:pPr>
            <w:r>
              <w:t xml:space="preserve">Not required</w:t>
            </w:r>
          </w:p>
        </w:tc>
        <w:tc>
          <w:tcPr/>
          <w:p>
            <w:pPr>
              <w:pStyle w:val="Compact"/>
            </w:pPr>
            <w:r>
              <w:t xml:space="preserve">Not required</w:t>
            </w:r>
          </w:p>
        </w:tc>
      </w:tr>
      <w:tr>
        <w:tc>
          <w:tcPr/>
          <w:p>
            <w:pPr>
              <w:pStyle w:val="Compact"/>
            </w:pPr>
            <w:r>
              <w:t xml:space="preserve">Board Notification</w:t>
            </w:r>
          </w:p>
        </w:tc>
        <w:tc>
          <w:tcPr/>
          <w:p>
            <w:pPr>
              <w:pStyle w:val="Compact"/>
            </w:pPr>
            <w:r>
              <w:t xml:space="preserve">Board Risk Committee Chair within 24 hours</w:t>
            </w:r>
          </w:p>
        </w:tc>
        <w:tc>
          <w:tcPr/>
          <w:p>
            <w:pPr>
              <w:pStyle w:val="Compact"/>
            </w:pPr>
            <w:r>
              <w:t xml:space="preserve">Board Risk Committee at next meeting</w:t>
            </w:r>
          </w:p>
        </w:tc>
        <w:tc>
          <w:tcPr/>
          <w:p>
            <w:pPr>
              <w:pStyle w:val="Compact"/>
            </w:pPr>
            <w:r>
              <w:t xml:space="preserve">Quarterly report</w:t>
            </w:r>
          </w:p>
        </w:tc>
        <w:tc>
          <w:tcPr/>
          <w:p>
            <w:pPr>
              <w:pStyle w:val="Compact"/>
            </w:pPr>
            <w:r>
              <w:t xml:space="preserve">Annual report</w:t>
            </w:r>
          </w:p>
        </w:tc>
        <w:tc>
          <w:tcPr/>
          <w:p>
            <w:pPr>
              <w:pStyle w:val="Compact"/>
            </w:pPr>
            <w:r>
              <w:t xml:space="preserve">Not required</w:t>
            </w:r>
          </w:p>
        </w:tc>
      </w:tr>
      <w:tr>
        <w:tc>
          <w:tcPr/>
          <w:p>
            <w:pPr>
              <w:pStyle w:val="Compact"/>
            </w:pPr>
            <w:r>
              <w:t xml:space="preserve">Post-Incident Review</w:t>
            </w:r>
          </w:p>
        </w:tc>
        <w:tc>
          <w:tcPr/>
          <w:p>
            <w:pPr>
              <w:pStyle w:val="Compact"/>
            </w:pPr>
            <w:r>
              <w:t xml:space="preserve">Within 30 days</w:t>
            </w:r>
          </w:p>
        </w:tc>
        <w:tc>
          <w:tcPr/>
          <w:p>
            <w:pPr>
              <w:pStyle w:val="Compact"/>
            </w:pPr>
            <w:r>
              <w:t xml:space="preserve">Within 30 days</w:t>
            </w:r>
          </w:p>
        </w:tc>
        <w:tc>
          <w:tcPr/>
          <w:p>
            <w:pPr>
              <w:pStyle w:val="Compact"/>
            </w:pPr>
            <w:r>
              <w:t xml:space="preserve">Within 90 days</w:t>
            </w:r>
          </w:p>
        </w:tc>
        <w:tc>
          <w:tcPr/>
          <w:p>
            <w:pPr>
              <w:pStyle w:val="Compact"/>
            </w:pPr>
            <w:r>
              <w:t xml:space="preserve">Annual lessons-learned aggregate</w:t>
            </w:r>
          </w:p>
        </w:tc>
        <w:tc>
          <w:tcPr/>
          <w:p>
            <w:pPr>
              <w:pStyle w:val="Compact"/>
            </w:pPr>
            <w:r>
              <w:t xml:space="preserve">Logged</w:t>
            </w:r>
          </w:p>
        </w:tc>
      </w:tr>
    </w:tbl>
    <w:p>
      <w:r>
        <w:pict>
          <v:rect style="width:0;height:1.5pt" o:hralign="center" o:hrstd="t" o:hr="t"/>
        </w:pict>
      </w:r>
    </w:p>
    <w:bookmarkEnd w:id="18"/>
    <w:bookmarkStart w:id="24" w:name="section-5-escalation-chain"/>
    <w:p>
      <w:pPr>
        <w:pStyle w:val="Heading2"/>
      </w:pPr>
      <w:r>
        <w:t xml:space="preserve">Section 5: Escalation Chain</w:t>
      </w:r>
    </w:p>
    <w:bookmarkStart w:id="19" w:name="p0-escalation-immediate"/>
    <w:p>
      <w:pPr>
        <w:pStyle w:val="Heading3"/>
      </w:pPr>
      <w:r>
        <w:t xml:space="preserve">P0 Escalation (Immediate)</w:t>
      </w:r>
    </w:p>
    <w:p>
      <w:pPr>
        <w:pStyle w:val="Compact"/>
        <w:numPr>
          <w:ilvl w:val="0"/>
          <w:numId w:val="1006"/>
        </w:numPr>
      </w:pPr>
      <w:r>
        <w:t xml:space="preserve">On-call AI Incident Commander confirms classification</w:t>
      </w:r>
    </w:p>
    <w:p>
      <w:pPr>
        <w:pStyle w:val="Compact"/>
        <w:numPr>
          <w:ilvl w:val="0"/>
          <w:numId w:val="1006"/>
        </w:numPr>
      </w:pPr>
      <w:r>
        <w:t xml:space="preserve">Head of AI Incident Response notified within 15 minutes</w:t>
      </w:r>
    </w:p>
    <w:p>
      <w:pPr>
        <w:pStyle w:val="Compact"/>
        <w:numPr>
          <w:ilvl w:val="0"/>
          <w:numId w:val="1006"/>
        </w:numPr>
      </w:pPr>
      <w:r>
        <w:t xml:space="preserve">Head of AI Governance Office notified within 30 minutes</w:t>
      </w:r>
    </w:p>
    <w:p>
      <w:pPr>
        <w:pStyle w:val="Compact"/>
        <w:numPr>
          <w:ilvl w:val="0"/>
          <w:numId w:val="1006"/>
        </w:numPr>
      </w:pPr>
      <w:r>
        <w:t xml:space="preserve">Chief Risk Officer notified within 1 hour</w:t>
      </w:r>
    </w:p>
    <w:p>
      <w:pPr>
        <w:pStyle w:val="Compact"/>
        <w:numPr>
          <w:ilvl w:val="0"/>
          <w:numId w:val="1006"/>
        </w:numPr>
      </w:pPr>
      <w:r>
        <w:t xml:space="preserve">Chief Executive Officer notified within 4 hours</w:t>
      </w:r>
    </w:p>
    <w:p>
      <w:pPr>
        <w:pStyle w:val="Compact"/>
        <w:numPr>
          <w:ilvl w:val="0"/>
          <w:numId w:val="1006"/>
        </w:numPr>
      </w:pPr>
      <w:r>
        <w:t xml:space="preserve">Board Risk Committee Chair notified within 24 hours</w:t>
      </w:r>
    </w:p>
    <w:p>
      <w:pPr>
        <w:pStyle w:val="Compact"/>
        <w:numPr>
          <w:ilvl w:val="0"/>
          <w:numId w:val="1006"/>
        </w:numPr>
      </w:pPr>
      <w:r>
        <w:t xml:space="preserve">Regulatory notification triggered per Template 37 within statutory deadline</w:t>
      </w:r>
    </w:p>
    <w:bookmarkEnd w:id="19"/>
    <w:bookmarkStart w:id="20" w:name="p1-escalation"/>
    <w:p>
      <w:pPr>
        <w:pStyle w:val="Heading3"/>
      </w:pPr>
      <w:r>
        <w:t xml:space="preserve">P1 Escalation</w:t>
      </w:r>
    </w:p>
    <w:p>
      <w:pPr>
        <w:pStyle w:val="Compact"/>
        <w:numPr>
          <w:ilvl w:val="0"/>
          <w:numId w:val="1007"/>
        </w:numPr>
      </w:pPr>
      <w:r>
        <w:t xml:space="preserve">On-call AI Incident Commander classifies</w:t>
      </w:r>
    </w:p>
    <w:p>
      <w:pPr>
        <w:pStyle w:val="Compact"/>
        <w:numPr>
          <w:ilvl w:val="0"/>
          <w:numId w:val="1007"/>
        </w:numPr>
      </w:pPr>
      <w:r>
        <w:t xml:space="preserve">Head of AI Incident Response notified within 30 minutes</w:t>
      </w:r>
    </w:p>
    <w:p>
      <w:pPr>
        <w:pStyle w:val="Compact"/>
        <w:numPr>
          <w:ilvl w:val="0"/>
          <w:numId w:val="1007"/>
        </w:numPr>
      </w:pPr>
      <w:r>
        <w:t xml:space="preserve">Head of AI Governance Office notified within 1 hour</w:t>
      </w:r>
    </w:p>
    <w:p>
      <w:pPr>
        <w:pStyle w:val="Compact"/>
        <w:numPr>
          <w:ilvl w:val="0"/>
          <w:numId w:val="1007"/>
        </w:numPr>
      </w:pPr>
      <w:r>
        <w:t xml:space="preserve">Chief Risk Officer notified within 4 hours</w:t>
      </w:r>
    </w:p>
    <w:p>
      <w:pPr>
        <w:pStyle w:val="Compact"/>
        <w:numPr>
          <w:ilvl w:val="0"/>
          <w:numId w:val="1007"/>
        </w:numPr>
      </w:pPr>
      <w:r>
        <w:t xml:space="preserve">Executive Committee notified at next scheduled meeting</w:t>
      </w:r>
    </w:p>
    <w:bookmarkEnd w:id="20"/>
    <w:bookmarkStart w:id="21" w:name="p2-escalation"/>
    <w:p>
      <w:pPr>
        <w:pStyle w:val="Heading3"/>
      </w:pPr>
      <w:r>
        <w:t xml:space="preserve">P2 Escalation</w:t>
      </w:r>
    </w:p>
    <w:p>
      <w:pPr>
        <w:pStyle w:val="Compact"/>
        <w:numPr>
          <w:ilvl w:val="0"/>
          <w:numId w:val="1008"/>
        </w:numPr>
      </w:pPr>
      <w:r>
        <w:t xml:space="preserve">On-call AI Incident Commander classifies</w:t>
      </w:r>
    </w:p>
    <w:p>
      <w:pPr>
        <w:pStyle w:val="Compact"/>
        <w:numPr>
          <w:ilvl w:val="0"/>
          <w:numId w:val="1008"/>
        </w:numPr>
      </w:pPr>
      <w:r>
        <w:t xml:space="preserve">Head of AI Incident Response notified within 2 hours</w:t>
      </w:r>
    </w:p>
    <w:p>
      <w:pPr>
        <w:pStyle w:val="Compact"/>
        <w:numPr>
          <w:ilvl w:val="0"/>
          <w:numId w:val="1008"/>
        </w:numPr>
      </w:pPr>
      <w:r>
        <w:t xml:space="preserve">Head of AI Governance Office notified within 1 business day</w:t>
      </w:r>
    </w:p>
    <w:p>
      <w:pPr>
        <w:pStyle w:val="Compact"/>
        <w:numPr>
          <w:ilvl w:val="0"/>
          <w:numId w:val="1008"/>
        </w:numPr>
      </w:pPr>
      <w:r>
        <w:t xml:space="preserve">AI Governance Committee notified at next meeting</w:t>
      </w:r>
    </w:p>
    <w:bookmarkEnd w:id="21"/>
    <w:bookmarkStart w:id="22" w:name="p3-escalation"/>
    <w:p>
      <w:pPr>
        <w:pStyle w:val="Heading3"/>
      </w:pPr>
      <w:r>
        <w:t xml:space="preserve">P3 Escalation</w:t>
      </w:r>
    </w:p>
    <w:p>
      <w:pPr>
        <w:pStyle w:val="Compact"/>
        <w:numPr>
          <w:ilvl w:val="0"/>
          <w:numId w:val="1009"/>
        </w:numPr>
      </w:pPr>
      <w:r>
        <w:t xml:space="preserve">Operational team handles</w:t>
      </w:r>
    </w:p>
    <w:p>
      <w:pPr>
        <w:pStyle w:val="Compact"/>
        <w:numPr>
          <w:ilvl w:val="0"/>
          <w:numId w:val="1009"/>
        </w:numPr>
      </w:pPr>
      <w:r>
        <w:t xml:space="preserve">AI Incident Response Office notified within 1 business day</w:t>
      </w:r>
    </w:p>
    <w:p>
      <w:pPr>
        <w:pStyle w:val="Compact"/>
        <w:numPr>
          <w:ilvl w:val="0"/>
          <w:numId w:val="1009"/>
        </w:numPr>
      </w:pPr>
      <w:r>
        <w:t xml:space="preserve">Aggregated reporting at next monthly review</w:t>
      </w:r>
    </w:p>
    <w:bookmarkEnd w:id="22"/>
    <w:bookmarkStart w:id="23" w:name="p4-escalation"/>
    <w:p>
      <w:pPr>
        <w:pStyle w:val="Heading3"/>
      </w:pPr>
      <w:r>
        <w:t xml:space="preserve">P4 Escalation</w:t>
      </w:r>
    </w:p>
    <w:p>
      <w:pPr>
        <w:pStyle w:val="Compact"/>
        <w:numPr>
          <w:ilvl w:val="0"/>
          <w:numId w:val="1010"/>
        </w:numPr>
      </w:pPr>
      <w:r>
        <w:t xml:space="preserve">Documented in observation register</w:t>
      </w:r>
    </w:p>
    <w:p>
      <w:pPr>
        <w:pStyle w:val="Compact"/>
        <w:numPr>
          <w:ilvl w:val="0"/>
          <w:numId w:val="1010"/>
        </w:numPr>
      </w:pPr>
      <w:r>
        <w:t xml:space="preserve">Reviewed at next governance forum</w:t>
      </w:r>
    </w:p>
    <w:p>
      <w:r>
        <w:pict>
          <v:rect style="width:0;height:1.5pt" o:hralign="center" o:hrstd="t" o:hr="t"/>
        </w:pict>
      </w:r>
    </w:p>
    <w:bookmarkEnd w:id="23"/>
    <w:bookmarkEnd w:id="24"/>
    <w:bookmarkStart w:id="25" w:name="X7a9256094dcdf675fbbcd86c8642c97d9b938a1"/>
    <w:p>
      <w:pPr>
        <w:pStyle w:val="Heading2"/>
      </w:pPr>
      <w:r>
        <w:t xml:space="preserve">Section 6: Classification Override Authority</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Override Direction</w:t>
            </w:r>
          </w:p>
        </w:tc>
        <w:tc>
          <w:tcPr/>
          <w:p>
            <w:pPr>
              <w:pStyle w:val="Compact"/>
            </w:pPr>
            <w:r>
              <w:t xml:space="preserve">Authority</w:t>
            </w:r>
          </w:p>
        </w:tc>
        <w:tc>
          <w:tcPr/>
          <w:p>
            <w:pPr>
              <w:pStyle w:val="Compact"/>
            </w:pPr>
            <w:r>
              <w:t xml:space="preserve">Documentation Required</w:t>
            </w:r>
          </w:p>
        </w:tc>
      </w:tr>
      <w:tr>
        <w:tc>
          <w:tcPr/>
          <w:p>
            <w:pPr>
              <w:pStyle w:val="Compact"/>
            </w:pPr>
            <w:r>
              <w:t xml:space="preserve">Upgrade (e.g., P2 to P1)</w:t>
            </w:r>
          </w:p>
        </w:tc>
        <w:tc>
          <w:tcPr/>
          <w:p>
            <w:pPr>
              <w:pStyle w:val="Compact"/>
            </w:pPr>
            <w:r>
              <w:t xml:space="preserve">Head of AI Incident Response</w:t>
            </w:r>
          </w:p>
        </w:tc>
        <w:tc>
          <w:tcPr/>
          <w:p>
            <w:pPr>
              <w:pStyle w:val="Compact"/>
            </w:pPr>
            <w:r>
              <w:t xml:space="preserve">Justification in incident log</w:t>
            </w:r>
          </w:p>
        </w:tc>
      </w:tr>
      <w:tr>
        <w:tc>
          <w:tcPr/>
          <w:p>
            <w:pPr>
              <w:pStyle w:val="Compact"/>
            </w:pPr>
            <w:r>
              <w:t xml:space="preserve">Downgrade (e.g., P0 to P1)</w:t>
            </w:r>
          </w:p>
        </w:tc>
        <w:tc>
          <w:tcPr/>
          <w:p>
            <w:pPr>
              <w:pStyle w:val="Compact"/>
            </w:pPr>
            <w:r>
              <w:t xml:space="preserve">AI Governance Committee Chair</w:t>
            </w:r>
          </w:p>
        </w:tc>
        <w:tc>
          <w:tcPr/>
          <w:p>
            <w:pPr>
              <w:pStyle w:val="Compact"/>
            </w:pPr>
            <w:r>
              <w:t xml:space="preserve">Written rationale, retained with incident record</w:t>
            </w:r>
          </w:p>
        </w:tc>
      </w:tr>
      <w:tr>
        <w:tc>
          <w:tcPr/>
          <w:p>
            <w:pPr>
              <w:pStyle w:val="Compact"/>
            </w:pPr>
            <w:r>
              <w:t xml:space="preserve">Disputed classification</w:t>
            </w:r>
          </w:p>
        </w:tc>
        <w:tc>
          <w:tcPr/>
          <w:p>
            <w:pPr>
              <w:pStyle w:val="Compact"/>
            </w:pPr>
            <w:r>
              <w:t xml:space="preserve">AI Governance Committee Chair</w:t>
            </w:r>
          </w:p>
        </w:tc>
        <w:tc>
          <w:tcPr/>
          <w:p>
            <w:pPr>
              <w:pStyle w:val="Compact"/>
            </w:pPr>
            <w:r>
              <w:t xml:space="preserve">Final classification with rationale</w:t>
            </w:r>
          </w:p>
        </w:tc>
      </w:tr>
    </w:tbl>
    <w:p>
      <w:pPr>
        <w:pStyle w:val="BodyText"/>
      </w:pPr>
      <w:r>
        <w:rPr>
          <w:b/>
          <w:bCs/>
        </w:rPr>
        <w:t xml:space="preserve">Override Discipline</w:t>
      </w:r>
      <w:r>
        <w:t xml:space="preserve">: Downgrades are scrutinized at post-incident review. A pattern of downgrades that prove premature triggers Committee review of classification training.</w:t>
      </w:r>
    </w:p>
    <w:p>
      <w:r>
        <w:pict>
          <v:rect style="width:0;height:1.5pt" o:hralign="center" o:hrstd="t" o:hr="t"/>
        </w:pict>
      </w:r>
    </w:p>
    <w:bookmarkEnd w:id="25"/>
    <w:bookmarkStart w:id="30" w:name="section-7-special-cases"/>
    <w:p>
      <w:pPr>
        <w:pStyle w:val="Heading2"/>
      </w:pPr>
      <w:r>
        <w:t xml:space="preserve">Section 7: Special Cases</w:t>
      </w:r>
    </w:p>
    <w:bookmarkStart w:id="26" w:name="Xdd47d79b290883d5dae359efbc6411b00c9fbd1"/>
    <w:p>
      <w:pPr>
        <w:pStyle w:val="Heading3"/>
      </w:pPr>
      <w:r>
        <w:t xml:space="preserve">7.1 Sharia Compliance Incidents (Islamic Finance Institutions)</w:t>
      </w:r>
    </w:p>
    <w:p>
      <w:pPr>
        <w:pStyle w:val="FirstParagraph"/>
      </w:pPr>
      <w:r>
        <w:t xml:space="preserve">Sharia compliance incidents are classified using the matrix above with a Sharia Advisor consultation within the first response window. Material Sharia breaches default to P0.</w:t>
      </w:r>
    </w:p>
    <w:bookmarkEnd w:id="26"/>
    <w:bookmarkStart w:id="27" w:name="cross-jurisdictional-incidents"/>
    <w:p>
      <w:pPr>
        <w:pStyle w:val="Heading3"/>
      </w:pPr>
      <w:r>
        <w:t xml:space="preserve">7.2 Cross-Jurisdictional Incidents</w:t>
      </w:r>
    </w:p>
    <w:p>
      <w:pPr>
        <w:pStyle w:val="FirstParagraph"/>
      </w:pPr>
      <w:r>
        <w:t xml:space="preserve">Incidents triggering notification obligations in multiple jurisdictions are managed at the most stringent jurisdiction's requirements, with parallel notification streams coordinated by the Head of Legal.</w:t>
      </w:r>
    </w:p>
    <w:bookmarkEnd w:id="27"/>
    <w:bookmarkStart w:id="28" w:name="vendor-originated-incidents"/>
    <w:p>
      <w:pPr>
        <w:pStyle w:val="Heading3"/>
      </w:pPr>
      <w:r>
        <w:t xml:space="preserve">7.3 Vendor-Originated Incidents</w:t>
      </w:r>
    </w:p>
    <w:p>
      <w:pPr>
        <w:pStyle w:val="FirstParagraph"/>
      </w:pPr>
      <w:r>
        <w:t xml:space="preserve">Vendor-originated incidents are classified by their impact on the Institution. Vendor incidents without institutional impact are tracked separately but do not enter the institutional incident severity register.</w:t>
      </w:r>
    </w:p>
    <w:bookmarkEnd w:id="28"/>
    <w:bookmarkStart w:id="29" w:name="discovered-latent-incidents"/>
    <w:p>
      <w:pPr>
        <w:pStyle w:val="Heading3"/>
      </w:pPr>
      <w:r>
        <w:t xml:space="preserve">7.4 Discovered Latent Incidents</w:t>
      </w:r>
    </w:p>
    <w:p>
      <w:pPr>
        <w:pStyle w:val="FirstParagraph"/>
      </w:pPr>
      <w:r>
        <w:t xml:space="preserve">Incidents discovered to have been occurring for an extended period before detection are classified by their aggregate impact, not by the impact at the moment of detection.</w:t>
      </w:r>
    </w:p>
    <w:p>
      <w:pPr>
        <w:pStyle w:val="BodyText"/>
      </w:pPr>
      <w:r>
        <w:rPr>
          <w:b/>
          <w:bCs/>
        </w:rPr>
        <w:t xml:space="preserve">End of Incident Severity Classification Guide.</w:t>
      </w:r>
    </w:p>
    <w:p>
      <w:pPr>
        <w:pStyle w:val="BodyText"/>
      </w:pPr>
      <w:r>
        <w:rPr>
          <w:b/>
          <w:bCs/>
        </w:rPr>
        <w:t xml:space="preserve">Usage Notes</w:t>
      </w:r>
      <w:r>
        <w:t xml:space="preserve">: Severity classification is the single most consequential decision in the first hour of an incident. The classification drives notification clocks, escalation paths, and resource mobilization. The discipline is to classify conservatively in the first fifteen minutes and refine within the first hour, rather than under-classify and discover the misclassification at the regulatory deadline.</w:t>
      </w:r>
    </w:p>
    <w:p>
      <w:r>
        <w:pict>
          <v:rect style="width:0;height:1.5pt" o:hralign="center" o:hrstd="t" o:hr="t"/>
        </w:pict>
      </w:r>
    </w:p>
    <w:bookmarkEnd w:id="29"/>
    <w:bookmarkEnd w:id="30"/>
    <w:bookmarkEnd w:id="3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2026-08-23T00:18:42Z</dcterms:created>
  <dcterms:modified xsi:type="dcterms:W3CDTF">2026-08-23T00:18:42Z</dcterms:modified>
</cp:coreProperties>
</file>

<file path=docProps/custom.xml><?xml version="1.0" encoding="utf-8"?>
<Properties xmlns="http://schemas.openxmlformats.org/officeDocument/2006/custom-properties" xmlns:vt="http://schemas.openxmlformats.org/officeDocument/2006/docPropsVTypes"/>
</file>