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vendor-contract-ai-specific-clauses"/>
    <w:p>
      <w:pPr>
        <w:pStyle w:val="Heading1"/>
      </w:pPr>
      <w:r>
        <w:t xml:space="preserve">Vendor Contract: AI-Specific Clauses</w:t>
      </w:r>
    </w:p>
    <w:p>
      <w:pPr>
        <w:pStyle w:val="FirstParagraph"/>
      </w:pPr>
      <w:r>
        <w:t xml:space="preserve">Template 26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Document the contractual provisions specific to AI vendor engagements that go beyond standard procurement language.</w:t>
      </w:r>
    </w:p>
    <w:p>
      <w:pPr>
        <w:pStyle w:val="BodyText"/>
      </w:pPr>
      <w:r>
        <w:rPr>
          <w:b/>
          <w:bCs/>
        </w:rPr>
        <w:t xml:space="preserve">When to use.</w:t>
      </w:r>
      <w:r>
        <w:t xml:space="preserve"> </w:t>
      </w:r>
      <w:r>
        <w:t xml:space="preserve">In every AI vendor contract.</w:t>
      </w:r>
    </w:p>
    <w:p>
      <w:pPr>
        <w:pStyle w:val="BodyText"/>
      </w:pPr>
      <w:r>
        <w:rPr>
          <w:b/>
          <w:bCs/>
        </w:rPr>
        <w:t xml:space="preserve">Where the book explains it.</w:t>
      </w:r>
      <w:r>
        <w:t xml:space="preserve"> </w:t>
      </w:r>
      <w:r>
        <w:t xml:space="preserve">Operationalizes the AVRF contracting layer Chapter 14 specifies.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22" w:name="Xeba502216569f27559e6d7134b55ddd98d3cade"/>
    <w:p>
      <w:pPr>
        <w:pStyle w:val="Heading1"/>
      </w:pPr>
      <w:r>
        <w:t xml:space="preserve">AI VENDOR CONTRACT: AI-SPECIFIC CLAUSES MODULE</w:t>
      </w:r>
    </w:p>
    <w:p>
      <w:pPr>
        <w:pStyle w:val="FirstParagraph"/>
      </w:pPr>
      <w:r>
        <w:rPr>
          <w:b/>
          <w:bCs/>
        </w:rPr>
        <w:t xml:space="preserve">Note</w:t>
      </w:r>
      <w:r>
        <w:t xml:space="preserve">: This module supplements the institution's standard procurement contract. The clauses below address risks specific to AI vendor engagements. Legal counsel review and adaptation to applicable jurisdiction is required before execution.</w:t>
      </w:r>
    </w:p>
    <w:p>
      <w:r>
        <w:pict>
          <v:rect style="width:0;height:1.5pt" o:hralign="center" o:hrstd="t" o:hr="t"/>
        </w:pict>
      </w:r>
    </w:p>
    <w:bookmarkStart w:id="10" w:name="article-1-data-use-rights"/>
    <w:p>
      <w:pPr>
        <w:pStyle w:val="Heading2"/>
      </w:pPr>
      <w:r>
        <w:t xml:space="preserve">Article 1: Data Use Rights</w:t>
      </w:r>
    </w:p>
    <w:p>
      <w:pPr>
        <w:pStyle w:val="FirstParagraph"/>
      </w:pPr>
      <w:r>
        <w:rPr>
          <w:b/>
          <w:bCs/>
        </w:rPr>
        <w:t xml:space="preserve">1.1 Permitted Use</w:t>
      </w:r>
      <w:r>
        <w:t xml:space="preserve">: Vendor may process Institutional Data solely for the purposes of delivering the Services described in Schedule [X] and for no other purpose.</w:t>
      </w:r>
    </w:p>
    <w:p>
      <w:pPr>
        <w:pStyle w:val="BodyText"/>
      </w:pPr>
      <w:r>
        <w:rPr>
          <w:b/>
          <w:bCs/>
        </w:rPr>
        <w:t xml:space="preserve">1.2 Prohibition on Model Training</w:t>
      </w:r>
      <w:r>
        <w:t xml:space="preserve">: Vendor shall not use Institutional Data to train, retrain, fine-tune, or otherwise improve any vendor-developed AI model, whether deployed for the Institution or for any other vendor customer, without the Institution's explicit prior written consent.</w:t>
      </w:r>
    </w:p>
    <w:p>
      <w:pPr>
        <w:pStyle w:val="BodyText"/>
      </w:pPr>
      <w:r>
        <w:rPr>
          <w:b/>
          <w:bCs/>
        </w:rPr>
        <w:t xml:space="preserve">1.3 Prohibition on Third-Party Disclosure</w:t>
      </w:r>
      <w:r>
        <w:t xml:space="preserve">: Vendor shall not sell, license, lease, transfer, or otherwise disclose Institutional Data to any third party except (a) sub-processors approved under Article 6, (b) as required by applicable law with prior notice to the Institution where lawful, or (c) with the Institution's prior written consent.</w:t>
      </w:r>
    </w:p>
    <w:p>
      <w:pPr>
        <w:pStyle w:val="BodyText"/>
      </w:pPr>
      <w:r>
        <w:rPr>
          <w:b/>
          <w:bCs/>
        </w:rPr>
        <w:t xml:space="preserve">1.4 Aggregated Data</w:t>
      </w:r>
      <w:r>
        <w:t xml:space="preserve">: Vendor's use of aggregated or anonymized data derived from Institutional Data shall be permitted only where (a) the data has been irreversibly anonymized to the residual-risk standard of [reference institutional anonymization policy], (b) the Institution has provided prior written consent, and (c) the anonymized data is not used in a manner that would harm the Institution's competitive position.</w:t>
      </w:r>
    </w:p>
    <w:p>
      <w:pPr>
        <w:pStyle w:val="BodyText"/>
      </w:pPr>
      <w:r>
        <w:rPr>
          <w:b/>
          <w:bCs/>
        </w:rPr>
        <w:t xml:space="preserve">Sample Clause Language</w:t>
      </w:r>
      <w:r>
        <w:t xml:space="preserve">: "Vendor acknowledges that Institutional Data is a strategic asset of the Institution. Vendor's processing rights are limited to those expressly granted in this Agreement. Any processing beyond the express grant constitutes a material breach."</w:t>
      </w:r>
    </w:p>
    <w:p>
      <w:r>
        <w:pict>
          <v:rect style="width:0;height:1.5pt" o:hralign="center" o:hrstd="t" o:hr="t"/>
        </w:pict>
      </w:r>
    </w:p>
    <w:bookmarkEnd w:id="10"/>
    <w:bookmarkStart w:id="11" w:name="article-2-model-documentation-delivery"/>
    <w:p>
      <w:pPr>
        <w:pStyle w:val="Heading2"/>
      </w:pPr>
      <w:r>
        <w:t xml:space="preserve">Article 2: Model Documentation Delivery</w:t>
      </w:r>
    </w:p>
    <w:p>
      <w:pPr>
        <w:pStyle w:val="FirstParagraph"/>
      </w:pPr>
      <w:r>
        <w:rPr>
          <w:b/>
          <w:bCs/>
        </w:rPr>
        <w:t xml:space="preserve">2.1 Initial Delivery</w:t>
      </w:r>
      <w:r>
        <w:t xml:space="preserve">: Within thirty days of contract execution, Vendor shall deliver to the Institution (a) model cards for all AI models included in the Services, (b) validation reports for all such models, (c) bias audit reports for all such models conducted within the prior twelve months, and (d) any current regulatory documentation or certifications.</w:t>
      </w:r>
    </w:p>
    <w:p>
      <w:pPr>
        <w:pStyle w:val="BodyText"/>
      </w:pPr>
      <w:r>
        <w:rPr>
          <w:b/>
          <w:bCs/>
        </w:rPr>
        <w:t xml:space="preserve">2.2 Refresh Cadence</w:t>
      </w:r>
      <w:r>
        <w:t xml:space="preserve">: Vendor shall refresh and re-deliver the documentation in Section 2.1 at the earlier of (a) annual cycle commencing on the contract anniversary, (b) any material change to a model included in the Services, or (c) any change in regulatory documentation requirements affecting the Services.</w:t>
      </w:r>
    </w:p>
    <w:p>
      <w:pPr>
        <w:pStyle w:val="BodyText"/>
      </w:pPr>
      <w:r>
        <w:rPr>
          <w:b/>
          <w:bCs/>
        </w:rPr>
        <w:t xml:space="preserve">2.3 Format and Standards</w:t>
      </w:r>
      <w:r>
        <w:t xml:space="preserve">: Documentation shall conform to the institutional Model Card Template (Appendix B Template 11), Validation Report Template (Template 12), and Bias Audit Report Template (Template 13) standards, or to substantively equivalent vendor formats with mapping documentation provided.</w:t>
      </w:r>
    </w:p>
    <w:p>
      <w:pPr>
        <w:pStyle w:val="BodyText"/>
      </w:pPr>
      <w:r>
        <w:rPr>
          <w:b/>
          <w:bCs/>
        </w:rPr>
        <w:t xml:space="preserve">Sample Clause Language</w:t>
      </w:r>
      <w:r>
        <w:t xml:space="preserve">: "Vendor shall provide all documentation required for the Institution to satisfy its regulatory documentation obligations under SDAIA, CBUAE, SAMA, PDPL, AAOIFI (where applicable), and any other regulatory framework applicable to the Institution's deployment of the Services."</w:t>
      </w:r>
    </w:p>
    <w:p>
      <w:r>
        <w:pict>
          <v:rect style="width:0;height:1.5pt" o:hralign="center" o:hrstd="t" o:hr="t"/>
        </w:pict>
      </w:r>
    </w:p>
    <w:bookmarkEnd w:id="11"/>
    <w:bookmarkStart w:id="12" w:name="article-3-audit-rights"/>
    <w:p>
      <w:pPr>
        <w:pStyle w:val="Heading2"/>
      </w:pPr>
      <w:r>
        <w:t xml:space="preserve">Article 3: Audit Rights</w:t>
      </w:r>
    </w:p>
    <w:p>
      <w:pPr>
        <w:pStyle w:val="FirstParagraph"/>
      </w:pPr>
      <w:r>
        <w:rPr>
          <w:b/>
          <w:bCs/>
        </w:rPr>
        <w:t xml:space="preserve">3.1 Annual Audit Right</w:t>
      </w:r>
      <w:r>
        <w:t xml:space="preserve">: The Institution may, no more than once in any twelve-month period, conduct or commission an audit of Vendor's controls relevant to the Services, including security controls, data governance controls, model governance controls, and Sharia compliance controls (where applicable).</w:t>
      </w:r>
    </w:p>
    <w:p>
      <w:pPr>
        <w:pStyle w:val="BodyText"/>
      </w:pPr>
      <w:r>
        <w:rPr>
          <w:b/>
          <w:bCs/>
        </w:rPr>
        <w:t xml:space="preserve">3.2 Audit Scope</w:t>
      </w:r>
      <w:r>
        <w:t xml:space="preserve">: The audit scope shall be reasonable in light of the Services and the Institution's risk profile, and shall include the right to (a) interview Vendor personnel, (b) review Vendor documentation, (c) inspect Vendor facilities where Institutional Data is processed, and (d) test Vendor controls.</w:t>
      </w:r>
    </w:p>
    <w:p>
      <w:pPr>
        <w:pStyle w:val="BodyText"/>
      </w:pPr>
      <w:r>
        <w:rPr>
          <w:b/>
          <w:bCs/>
        </w:rPr>
        <w:t xml:space="preserve">3.3 Auditor Selection</w:t>
      </w:r>
      <w:r>
        <w:t xml:space="preserve">: The Institution may use its internal audit function or a qualified third-party auditor. Vendor may object to a specific third-party auditor only on grounds of demonstrable conflict of interest.</w:t>
      </w:r>
    </w:p>
    <w:p>
      <w:pPr>
        <w:pStyle w:val="BodyText"/>
      </w:pPr>
      <w:r>
        <w:rPr>
          <w:b/>
          <w:bCs/>
        </w:rPr>
        <w:t xml:space="preserve">3.4 Cost Allocation</w:t>
      </w:r>
      <w:r>
        <w:t xml:space="preserve">: The Institution bears the cost of routine audits. Vendor bears the cost of remediation of audit findings and of any follow-up audit triggered by material findings.</w:t>
      </w:r>
    </w:p>
    <w:p>
      <w:pPr>
        <w:pStyle w:val="BodyText"/>
      </w:pPr>
      <w:r>
        <w:rPr>
          <w:b/>
          <w:bCs/>
        </w:rPr>
        <w:t xml:space="preserve">3.5 Regulatory Audit Cooperation</w:t>
      </w:r>
      <w:r>
        <w:t xml:space="preserve">: Vendor shall cooperate with any audit conducted by a regulator with jurisdiction over the Institution, including providing access to facilities, personnel, and documentation as the regulator requires.</w:t>
      </w:r>
    </w:p>
    <w:p>
      <w:pPr>
        <w:pStyle w:val="BodyText"/>
      </w:pPr>
      <w:r>
        <w:rPr>
          <w:b/>
          <w:bCs/>
        </w:rPr>
        <w:t xml:space="preserve">Sample Clause Language</w:t>
      </w:r>
      <w:r>
        <w:t xml:space="preserve">: "Vendor's audit obligations are fundamental to the Institution's regulatory compliance posture. A material breach of audit obligations constitutes a material breach of this Agreement giving rise to termination rights under Article 11."</w:t>
      </w:r>
    </w:p>
    <w:p>
      <w:r>
        <w:pict>
          <v:rect style="width:0;height:1.5pt" o:hralign="center" o:hrstd="t" o:hr="t"/>
        </w:pict>
      </w:r>
    </w:p>
    <w:bookmarkEnd w:id="12"/>
    <w:bookmarkStart w:id="13" w:name="article-4-regulatory-cooperation"/>
    <w:p>
      <w:pPr>
        <w:pStyle w:val="Heading2"/>
      </w:pPr>
      <w:r>
        <w:t xml:space="preserve">Article 4: Regulatory Cooperation</w:t>
      </w:r>
    </w:p>
    <w:p>
      <w:pPr>
        <w:pStyle w:val="FirstParagraph"/>
      </w:pPr>
      <w:r>
        <w:rPr>
          <w:b/>
          <w:bCs/>
        </w:rPr>
        <w:t xml:space="preserve">4.1 Notification of Regulatory Engagement</w:t>
      </w:r>
      <w:r>
        <w:t xml:space="preserve">: Vendor shall notify the Institution within five business days of any (a) regulatory inquiry, investigation, or enforcement action affecting the Services or Vendor's general operations relevant to AI services, (b) regulatory examination scheduled that may affect the Institution's data or models, or (c) material change in regulatory licensing or certification status.</w:t>
      </w:r>
    </w:p>
    <w:p>
      <w:pPr>
        <w:pStyle w:val="BodyText"/>
      </w:pPr>
      <w:r>
        <w:rPr>
          <w:b/>
          <w:bCs/>
        </w:rPr>
        <w:t xml:space="preserve">4.2 Cooperation with Institution's Regulators</w:t>
      </w:r>
      <w:r>
        <w:t xml:space="preserve">: Vendor shall cooperate with the Institution's regulators upon request, including providing testimony, documentation, and access to personnel and systems as the regulator requires, subject to vendor's reasonable confidentiality protections.</w:t>
      </w:r>
    </w:p>
    <w:p>
      <w:pPr>
        <w:pStyle w:val="BodyText"/>
      </w:pPr>
      <w:r>
        <w:rPr>
          <w:b/>
          <w:bCs/>
        </w:rPr>
        <w:t xml:space="preserve">4.3 Dedicated Cooperation Contact</w:t>
      </w:r>
      <w:r>
        <w:t xml:space="preserve">: Vendor shall designate a named individual as the regulatory cooperation contact, with authority to coordinate vendor's response to regulatory matters affecting the Institution.</w:t>
      </w:r>
    </w:p>
    <w:p>
      <w:pPr>
        <w:pStyle w:val="BodyText"/>
      </w:pPr>
      <w:r>
        <w:rPr>
          <w:b/>
          <w:bCs/>
        </w:rPr>
        <w:t xml:space="preserve">Sample Clause Language</w:t>
      </w:r>
      <w:r>
        <w:t xml:space="preserve">: "Vendor recognizes that the Institution operates in regulated industries and that regulatory cooperation is a non-negotiable institutional obligation that flows through to Vendor as a service provider."</w:t>
      </w:r>
    </w:p>
    <w:p>
      <w:r>
        <w:pict>
          <v:rect style="width:0;height:1.5pt" o:hralign="center" o:hrstd="t" o:hr="t"/>
        </w:pict>
      </w:r>
    </w:p>
    <w:bookmarkEnd w:id="13"/>
    <w:bookmarkStart w:id="14" w:name="article-5-incident-notification"/>
    <w:p>
      <w:pPr>
        <w:pStyle w:val="Heading2"/>
      </w:pPr>
      <w:r>
        <w:t xml:space="preserve">Article 5: Incident Notification</w:t>
      </w:r>
    </w:p>
    <w:p>
      <w:pPr>
        <w:pStyle w:val="FirstParagraph"/>
      </w:pPr>
      <w:r>
        <w:rPr>
          <w:b/>
          <w:bCs/>
        </w:rPr>
        <w:t xml:space="preserve">5.1 Maximum Notification Time</w:t>
      </w:r>
      <w:r>
        <w:t xml:space="preserve">: Vendor shall notify the Institution of any (a) confirmed or reasonably suspected unauthorized access to Institutional Data, (b) confirmed or reasonably suspected compromise of Vendor systems processing Institutional Data, (c) material service disruption, (d) material change in model behavior affecting Institutional outcomes, or (e) other incident reasonably likely to affect the Institution's interests, within four hours of detection.</w:t>
      </w:r>
    </w:p>
    <w:p>
      <w:pPr>
        <w:pStyle w:val="BodyText"/>
      </w:pPr>
      <w:r>
        <w:rPr>
          <w:b/>
          <w:bCs/>
        </w:rPr>
        <w:t xml:space="preserve">5.2 Notification Content</w:t>
      </w:r>
      <w:r>
        <w:t xml:space="preserve">: Initial notification shall include the nature of the incident, the data and systems affected, the estimated scope of impact, the containment actions taken, and the dedicated incident contact. Updates shall follow at intervals not exceeding twelve hours during active incidents.</w:t>
      </w:r>
    </w:p>
    <w:p>
      <w:pPr>
        <w:pStyle w:val="BodyText"/>
      </w:pPr>
      <w:r>
        <w:rPr>
          <w:b/>
          <w:bCs/>
        </w:rPr>
        <w:t xml:space="preserve">5.3 Joint Incident Response</w:t>
      </w:r>
      <w:r>
        <w:t xml:space="preserve">: For incidents materially affecting Institutional Data or Services, Vendor's incident commander shall join the Institution's incident bridge and participate in joint response activities including evidence preservation, root cause analysis, and remediation planning.</w:t>
      </w:r>
    </w:p>
    <w:p>
      <w:pPr>
        <w:pStyle w:val="BodyText"/>
      </w:pPr>
      <w:r>
        <w:rPr>
          <w:b/>
          <w:bCs/>
        </w:rPr>
        <w:t xml:space="preserve">5.4 Regulatory Notification Support</w:t>
      </w:r>
      <w:r>
        <w:t xml:space="preserve">: Vendor shall provide the information the Institution requires to meet regulatory notification deadlines under applicable frameworks, including providing such information within twelve hours of Institution request.</w:t>
      </w:r>
    </w:p>
    <w:p>
      <w:pPr>
        <w:pStyle w:val="BodyText"/>
      </w:pPr>
      <w:r>
        <w:rPr>
          <w:b/>
          <w:bCs/>
        </w:rPr>
        <w:t xml:space="preserve">Sample Clause Language</w:t>
      </w:r>
      <w:r>
        <w:t xml:space="preserve">: "Time is of the essence in incident notification. The Institution's regulatory notification clocks begin at the time of breach discovery, which may include the time of vendor discovery. Vendor's prompt notification is essential to the Institution's regulatory compliance."</w:t>
      </w:r>
    </w:p>
    <w:p>
      <w:r>
        <w:pict>
          <v:rect style="width:0;height:1.5pt" o:hralign="center" o:hrstd="t" o:hr="t"/>
        </w:pict>
      </w:r>
    </w:p>
    <w:bookmarkEnd w:id="14"/>
    <w:bookmarkStart w:id="15" w:name="article-6-sub-processor-restrictions"/>
    <w:p>
      <w:pPr>
        <w:pStyle w:val="Heading2"/>
      </w:pPr>
      <w:r>
        <w:t xml:space="preserve">Article 6: Sub-Processor Restrictions</w:t>
      </w:r>
    </w:p>
    <w:p>
      <w:pPr>
        <w:pStyle w:val="FirstParagraph"/>
      </w:pPr>
      <w:r>
        <w:rPr>
          <w:b/>
          <w:bCs/>
        </w:rPr>
        <w:t xml:space="preserve">6.1 Approval Requirement</w:t>
      </w:r>
      <w:r>
        <w:t xml:space="preserve">: Vendor shall not engage any sub-processor with access to Institutional Data without the Institution's prior written approval.</w:t>
      </w:r>
    </w:p>
    <w:p>
      <w:pPr>
        <w:pStyle w:val="BodyText"/>
      </w:pPr>
      <w:r>
        <w:rPr>
          <w:b/>
          <w:bCs/>
        </w:rPr>
        <w:t xml:space="preserve">6.2 Approved Sub-Processor List</w:t>
      </w:r>
      <w:r>
        <w:t xml:space="preserve">: Vendor shall maintain a list of approved sub-processors as Schedule [Y] of this Agreement. The Schedule may be updated only by written amendment.</w:t>
      </w:r>
    </w:p>
    <w:p>
      <w:pPr>
        <w:pStyle w:val="BodyText"/>
      </w:pPr>
      <w:r>
        <w:rPr>
          <w:b/>
          <w:bCs/>
        </w:rPr>
        <w:t xml:space="preserve">6.3 Notification of Proposed Changes</w:t>
      </w:r>
      <w:r>
        <w:t xml:space="preserve">: Vendor shall provide thirty days notice of any proposed addition, removal, or material change to a sub-processor. The Institution may object within the notice period.</w:t>
      </w:r>
    </w:p>
    <w:p>
      <w:pPr>
        <w:pStyle w:val="BodyText"/>
      </w:pPr>
      <w:r>
        <w:rPr>
          <w:b/>
          <w:bCs/>
        </w:rPr>
        <w:t xml:space="preserve">6.4 Right of Objection</w:t>
      </w:r>
      <w:r>
        <w:t xml:space="preserve">: If the Institution objects to a proposed sub-processor, the parties shall negotiate in good faith. If agreement cannot be reached, the Institution may terminate the affected portion of the Services without penalty.</w:t>
      </w:r>
    </w:p>
    <w:p>
      <w:pPr>
        <w:pStyle w:val="BodyText"/>
      </w:pPr>
      <w:r>
        <w:rPr>
          <w:b/>
          <w:bCs/>
        </w:rPr>
        <w:t xml:space="preserve">6.5 Sub-Processor Flow-Down</w:t>
      </w:r>
      <w:r>
        <w:t xml:space="preserve">: Vendor shall flow down to each sub-processor obligations substantively equivalent to Vendor's obligations under this Agreement regarding data protection, security, and incident notification.</w:t>
      </w:r>
    </w:p>
    <w:p>
      <w:r>
        <w:pict>
          <v:rect style="width:0;height:1.5pt" o:hralign="center" o:hrstd="t" o:hr="t"/>
        </w:pict>
      </w:r>
    </w:p>
    <w:bookmarkEnd w:id="15"/>
    <w:bookmarkStart w:id="16" w:name="article-7-data-residency"/>
    <w:p>
      <w:pPr>
        <w:pStyle w:val="Heading2"/>
      </w:pPr>
      <w:r>
        <w:t xml:space="preserve">Article 7: Data Residency</w:t>
      </w:r>
    </w:p>
    <w:p>
      <w:pPr>
        <w:pStyle w:val="FirstParagraph"/>
      </w:pPr>
      <w:r>
        <w:rPr>
          <w:b/>
          <w:bCs/>
        </w:rPr>
        <w:t xml:space="preserve">7.1 Permitted Storage Locations</w:t>
      </w:r>
      <w:r>
        <w:t xml:space="preserve">: Institutional Data shall be stored and processed only in the locations specified in Schedule [Z]. The default permitted locations are [list jurisdictions].</w:t>
      </w:r>
    </w:p>
    <w:p>
      <w:pPr>
        <w:pStyle w:val="BodyText"/>
      </w:pPr>
      <w:r>
        <w:rPr>
          <w:b/>
          <w:bCs/>
        </w:rPr>
        <w:t xml:space="preserve">7.2 Prohibition on Transfer</w:t>
      </w:r>
      <w:r>
        <w:t xml:space="preserve">: Vendor shall not transfer Institutional Data outside the permitted locations without the Institution's prior written approval, except as required by applicable law with prior notice to the Institution where lawful.</w:t>
      </w:r>
    </w:p>
    <w:p>
      <w:pPr>
        <w:pStyle w:val="BodyText"/>
      </w:pPr>
      <w:r>
        <w:rPr>
          <w:b/>
          <w:bCs/>
        </w:rPr>
        <w:t xml:space="preserve">7.3 Cross-Border Transfer Mechanism</w:t>
      </w:r>
      <w:r>
        <w:t xml:space="preserve">: Where cross-border transfer is approved, the parties shall execute the appropriate mechanism (Standard Contractual Clauses, Binding Corporate Rules, adequacy reliance) before the transfer occurs.</w:t>
      </w:r>
    </w:p>
    <w:p>
      <w:pPr>
        <w:pStyle w:val="BodyText"/>
      </w:pPr>
      <w:r>
        <w:rPr>
          <w:b/>
          <w:bCs/>
        </w:rPr>
        <w:t xml:space="preserve">7.4 Sub-Processor Locations</w:t>
      </w:r>
      <w:r>
        <w:t xml:space="preserve">: Sub-processor locations shall be specified in Schedule [Y] and shall not exceed the locations approved for Vendor's direct processing.</w:t>
      </w:r>
    </w:p>
    <w:p>
      <w:r>
        <w:pict>
          <v:rect style="width:0;height:1.5pt" o:hralign="center" o:hrstd="t" o:hr="t"/>
        </w:pict>
      </w:r>
    </w:p>
    <w:bookmarkEnd w:id="16"/>
    <w:bookmarkStart w:id="17" w:name="article-8-service-levels"/>
    <w:p>
      <w:pPr>
        <w:pStyle w:val="Heading2"/>
      </w:pPr>
      <w:r>
        <w:t xml:space="preserve">Article 8: Service Levels</w:t>
      </w:r>
    </w:p>
    <w:p>
      <w:pPr>
        <w:pStyle w:val="FirstParagraph"/>
      </w:pPr>
      <w:r>
        <w:rPr>
          <w:b/>
          <w:bCs/>
        </w:rPr>
        <w:t xml:space="preserve">8.1 Performance Commitments</w:t>
      </w:r>
      <w:r>
        <w:t xml:space="preserve">: Vendor commits to the service levels specified in Schedule [X], including uptime, latency, throughput, accuracy (where applicable), and incident response times.</w:t>
      </w:r>
    </w:p>
    <w:p>
      <w:pPr>
        <w:pStyle w:val="BodyText"/>
      </w:pPr>
      <w:r>
        <w:rPr>
          <w:b/>
          <w:bCs/>
        </w:rPr>
        <w:t xml:space="preserve">8.2 Service Credits</w:t>
      </w:r>
      <w:r>
        <w:t xml:space="preserve">: Failure to meet service level commitments triggers service credits per the schedule, which the Institution may apply against future invoices or take as a refund.</w:t>
      </w:r>
    </w:p>
    <w:p>
      <w:pPr>
        <w:pStyle w:val="BodyText"/>
      </w:pPr>
      <w:r>
        <w:rPr>
          <w:b/>
          <w:bCs/>
        </w:rPr>
        <w:t xml:space="preserve">8.3 Sustained Breach Termination</w:t>
      </w:r>
      <w:r>
        <w:t xml:space="preserve">: Sustained breach of service level commitments (defined as material breach in three of any twelve consecutive months) constitutes material breach giving rise to termination rights under Article 11.</w:t>
      </w:r>
    </w:p>
    <w:p>
      <w:pPr>
        <w:pStyle w:val="BodyText"/>
      </w:pPr>
      <w:r>
        <w:rPr>
          <w:b/>
          <w:bCs/>
        </w:rPr>
        <w:t xml:space="preserve">8.4 Performance Reporting</w:t>
      </w:r>
      <w:r>
        <w:t xml:space="preserve">: Vendor shall provide monthly performance reports against committed service levels, with detailed breakout of any non-conformance.</w:t>
      </w:r>
    </w:p>
    <w:p>
      <w:r>
        <w:pict>
          <v:rect style="width:0;height:1.5pt" o:hralign="center" o:hrstd="t" o:hr="t"/>
        </w:pict>
      </w:r>
    </w:p>
    <w:bookmarkEnd w:id="17"/>
    <w:bookmarkStart w:id="18" w:name="article-9-exit-clauses"/>
    <w:p>
      <w:pPr>
        <w:pStyle w:val="Heading2"/>
      </w:pPr>
      <w:r>
        <w:t xml:space="preserve">Article 9: Exit Clauses</w:t>
      </w:r>
    </w:p>
    <w:p>
      <w:pPr>
        <w:pStyle w:val="FirstParagraph"/>
      </w:pPr>
      <w:r>
        <w:rPr>
          <w:b/>
          <w:bCs/>
        </w:rPr>
        <w:t xml:space="preserve">9.1 Data Return</w:t>
      </w:r>
      <w:r>
        <w:t xml:space="preserve">: Upon contract termination or expiration, Vendor shall return all Institutional Data within thirty days, in the formats specified in Schedule [W], with certification of completeness.</w:t>
      </w:r>
    </w:p>
    <w:p>
      <w:pPr>
        <w:pStyle w:val="BodyText"/>
      </w:pPr>
      <w:r>
        <w:rPr>
          <w:b/>
          <w:bCs/>
        </w:rPr>
        <w:t xml:space="preserve">9.2 Data Destruction</w:t>
      </w:r>
      <w:r>
        <w:t xml:space="preserve">: Following return, Vendor shall destroy all residual copies of Institutional Data within sixty days, with destruction certified in writing by Vendor's Data Protection Officer or equivalent role.</w:t>
      </w:r>
    </w:p>
    <w:p>
      <w:pPr>
        <w:pStyle w:val="BodyText"/>
      </w:pPr>
      <w:r>
        <w:rPr>
          <w:b/>
          <w:bCs/>
        </w:rPr>
        <w:t xml:space="preserve">9.3 Transition Support</w:t>
      </w:r>
      <w:r>
        <w:t xml:space="preserve">: Vendor shall provide transition support to the Institution and to any alternative vendor selected by the Institution for a period of [180 days] following termination notice, at fees not exceeding the standard service fees in effect at termination.</w:t>
      </w:r>
    </w:p>
    <w:p>
      <w:pPr>
        <w:pStyle w:val="BodyText"/>
      </w:pPr>
      <w:r>
        <w:rPr>
          <w:b/>
          <w:bCs/>
        </w:rPr>
        <w:t xml:space="preserve">9.4 Source Code or Model Escrow</w:t>
      </w:r>
      <w:r>
        <w:t xml:space="preserve">: Where the Services include vendor-proprietary models or code essential to the Institution's continued operations, Vendor shall maintain escrow with a qualified escrow agent. Release conditions shall include vendor bankruptcy, vendor material breach uncured after notice, and vendor inability to continue providing the Services.</w:t>
      </w:r>
    </w:p>
    <w:p>
      <w:pPr>
        <w:pStyle w:val="BodyText"/>
      </w:pPr>
      <w:r>
        <w:rPr>
          <w:b/>
          <w:bCs/>
        </w:rPr>
        <w:t xml:space="preserve">9.5 Knowledge Transfer</w:t>
      </w:r>
      <w:r>
        <w:t xml:space="preserve">: Vendor shall provide knowledge transfer to the Institution's personnel or to alternative vendor personnel, including documentation, training sessions, and access to subject-matter experts during the transition period.</w:t>
      </w:r>
    </w:p>
    <w:p>
      <w:r>
        <w:pict>
          <v:rect style="width:0;height:1.5pt" o:hralign="center" o:hrstd="t" o:hr="t"/>
        </w:pict>
      </w:r>
    </w:p>
    <w:bookmarkEnd w:id="18"/>
    <w:bookmarkStart w:id="19" w:name="Xea4a4f4fc47711e56baff52afff2c6479cc8e0e"/>
    <w:p>
      <w:pPr>
        <w:pStyle w:val="Heading2"/>
      </w:pPr>
      <w:r>
        <w:t xml:space="preserve">Article 10: Sharia Cooperation (Islamic Finance Institutions)</w:t>
      </w:r>
    </w:p>
    <w:p>
      <w:pPr>
        <w:pStyle w:val="FirstParagraph"/>
      </w:pPr>
      <w:r>
        <w:rPr>
          <w:b/>
          <w:bCs/>
        </w:rPr>
        <w:t xml:space="preserve">10.1 Sharia Review Cooperation</w:t>
      </w:r>
      <w:r>
        <w:t xml:space="preserve">: Vendor shall cooperate with Sharia review conducted by the Institution's Sharia Supervisory Board, including providing access to source code, training data, operational logs, and personnel as the Sharia Advisor reasonably requires.</w:t>
      </w:r>
    </w:p>
    <w:p>
      <w:pPr>
        <w:pStyle w:val="BodyText"/>
      </w:pPr>
      <w:r>
        <w:rPr>
          <w:b/>
          <w:bCs/>
        </w:rPr>
        <w:t xml:space="preserve">10.2 Sharia Findings Remediation</w:t>
      </w:r>
      <w:r>
        <w:t xml:space="preserve">: Vendor shall remediate Sharia findings within the timelines agreed with the Institution's Sharia Advisor, recognizing that material Sharia non-compliance may constitute grounds for service suspension.</w:t>
      </w:r>
    </w:p>
    <w:p>
      <w:pPr>
        <w:pStyle w:val="BodyText"/>
      </w:pPr>
      <w:r>
        <w:rPr>
          <w:b/>
          <w:bCs/>
        </w:rPr>
        <w:t xml:space="preserve">10.3 AAOIFI Alignment</w:t>
      </w:r>
      <w:r>
        <w:t xml:space="preserve">: Where applicable, Vendor shall maintain alignment with AAOIFI governance, accounting, and Sharia standards as specified in Schedule [V].</w:t>
      </w:r>
    </w:p>
    <w:p>
      <w:pPr>
        <w:pStyle w:val="BodyText"/>
      </w:pPr>
      <w:r>
        <w:rPr>
          <w:b/>
          <w:bCs/>
        </w:rPr>
        <w:t xml:space="preserve">10.4 Halal Data Source Verification</w:t>
      </w:r>
      <w:r>
        <w:t xml:space="preserve">: Vendor shall provide annual attestation that data sources used in the Services maintain halal status per the standards referenced in Template 22.</w:t>
      </w:r>
    </w:p>
    <w:p>
      <w:r>
        <w:pict>
          <v:rect style="width:0;height:1.5pt" o:hralign="center" o:hrstd="t" o:hr="t"/>
        </w:pict>
      </w:r>
    </w:p>
    <w:bookmarkEnd w:id="19"/>
    <w:bookmarkStart w:id="20" w:name="article-11-termination-rights"/>
    <w:p>
      <w:pPr>
        <w:pStyle w:val="Heading2"/>
      </w:pPr>
      <w:r>
        <w:t xml:space="preserve">Article 11: Termination Rights</w:t>
      </w:r>
    </w:p>
    <w:p>
      <w:pPr>
        <w:pStyle w:val="FirstParagraph"/>
      </w:pPr>
      <w:r>
        <w:rPr>
          <w:b/>
          <w:bCs/>
        </w:rPr>
        <w:t xml:space="preserve">11.1 Termination for Convenience</w:t>
      </w:r>
      <w:r>
        <w:t xml:space="preserve">: Either party may terminate this Agreement for convenience upon [180 days] written notice.</w:t>
      </w:r>
    </w:p>
    <w:p>
      <w:pPr>
        <w:pStyle w:val="BodyText"/>
      </w:pPr>
      <w:r>
        <w:rPr>
          <w:b/>
          <w:bCs/>
        </w:rPr>
        <w:t xml:space="preserve">11.2 Termination for Cause</w:t>
      </w:r>
      <w:r>
        <w:t xml:space="preserve">: Either party may terminate this Agreement for cause upon written notice without cure period for (a) material breach not capable of cure, (b) bankruptcy, insolvency, or similar event, or (c) acts of fraud, willful misconduct, or gross negligence.</w:t>
      </w:r>
    </w:p>
    <w:p>
      <w:pPr>
        <w:pStyle w:val="BodyText"/>
      </w:pPr>
      <w:r>
        <w:rPr>
          <w:b/>
          <w:bCs/>
        </w:rPr>
        <w:t xml:space="preserve">11.3 Termination for Material Breach with Cure</w:t>
      </w:r>
      <w:r>
        <w:t xml:space="preserve">: Either party may terminate this Agreement for material breach capable of cure if the breach is not cured within [thirty days] of written notice specifying the breach.</w:t>
      </w:r>
    </w:p>
    <w:p>
      <w:pPr>
        <w:pStyle w:val="BodyText"/>
      </w:pPr>
      <w:r>
        <w:rPr>
          <w:b/>
          <w:bCs/>
        </w:rPr>
        <w:t xml:space="preserve">11.4 Institution Termination for Specific Causes</w:t>
      </w:r>
      <w:r>
        <w:t xml:space="preserve">: The Institution may additionally terminate without penalty for (a) any security breach affecting Institutional Data where Vendor's response was materially deficient, (b) any regulatory enforcement action against Vendor that materially affects the Services, (c) sustained service level breach as defined in Article 8.3, (d) material breach of audit obligations under Article 3, (e) material breach of incident notification obligations under Article 5, or (f) failure of Sharia recertification (Islamic finance institutions).</w:t>
      </w:r>
    </w:p>
    <w:p>
      <w:pPr>
        <w:pStyle w:val="BodyText"/>
      </w:pPr>
      <w:r>
        <w:rPr>
          <w:b/>
          <w:bCs/>
        </w:rPr>
        <w:t xml:space="preserve">11.5 No Termination Penalty for Cause</w:t>
      </w:r>
      <w:r>
        <w:t xml:space="preserve">: Termination for cause shall not trigger early termination fees or other penalty payments.</w:t>
      </w:r>
    </w:p>
    <w:p>
      <w:r>
        <w:pict>
          <v:rect style="width:0;height:1.5pt" o:hralign="center" o:hrstd="t" o:hr="t"/>
        </w:pict>
      </w:r>
    </w:p>
    <w:bookmarkEnd w:id="20"/>
    <w:bookmarkStart w:id="21" w:name="article-12-liability-and-indemnity"/>
    <w:p>
      <w:pPr>
        <w:pStyle w:val="Heading2"/>
      </w:pPr>
      <w:r>
        <w:t xml:space="preserve">Article 12: Liability and Indemnity</w:t>
      </w:r>
    </w:p>
    <w:p>
      <w:pPr>
        <w:pStyle w:val="FirstParagraph"/>
      </w:pPr>
      <w:r>
        <w:rPr>
          <w:b/>
          <w:bCs/>
        </w:rPr>
        <w:t xml:space="preserve">12.1 Vendor Indemnity</w:t>
      </w:r>
      <w:r>
        <w:t xml:space="preserve">: Vendor shall indemnify the Institution against (a) third-party claims arising from Vendor's breach of this Agreement, (b) regulatory penalties imposed on the Institution arising from Vendor's failure to meet obligations under this Agreement, (c) third-party intellectual property claims arising from the Services, and (d) claims arising from Vendor's negligence or willful misconduct.</w:t>
      </w:r>
    </w:p>
    <w:p>
      <w:pPr>
        <w:pStyle w:val="BodyText"/>
      </w:pPr>
      <w:r>
        <w:rPr>
          <w:b/>
          <w:bCs/>
        </w:rPr>
        <w:t xml:space="preserve">12.2 Liability Cap, General</w:t>
      </w:r>
      <w:r>
        <w:t xml:space="preserve">: Vendor's aggregate liability under this Agreement is capped at the greater of (a) [USD amount] or (b) [multiple, e.g., 3x] of fees paid under this Agreement in the twelve months preceding the event giving rise to liability.</w:t>
      </w:r>
    </w:p>
    <w:p>
      <w:pPr>
        <w:pStyle w:val="BodyText"/>
      </w:pPr>
      <w:r>
        <w:rPr>
          <w:b/>
          <w:bCs/>
        </w:rPr>
        <w:t xml:space="preserve">12.3 Liability Cap, Carveouts</w:t>
      </w:r>
      <w:r>
        <w:t xml:space="preserve">: The liability cap in Section 12.2 does not apply to (a) Vendor's indemnity obligations under Section 12.1, (b) Vendor's breach of data protection obligations, (c) Vendor's breach of confidentiality obligations, (d) regulatory penalties under Section 12.1(b), or (e) liability arising from Vendor's gross negligence, willful misconduct, or fraud.</w:t>
      </w:r>
    </w:p>
    <w:p>
      <w:pPr>
        <w:pStyle w:val="BodyText"/>
      </w:pPr>
      <w:r>
        <w:rPr>
          <w:b/>
          <w:bCs/>
        </w:rPr>
        <w:t xml:space="preserve">12.4 Insurance</w:t>
      </w:r>
      <w:r>
        <w:t xml:space="preserve">: Vendor shall maintain professional indemnity insurance, cyber liability insurance, and general liability insurance in amounts not less than those specified in Schedule [U], with the Institution named as additional insured where commercially available.</w:t>
      </w:r>
    </w:p>
    <w:p>
      <w:r>
        <w:pict>
          <v:rect style="width:0;height:1.5pt" o:hralign="center" o:hrstd="t" o:hr="t"/>
        </w:pict>
      </w:r>
    </w:p>
    <w:p>
      <w:pPr>
        <w:pStyle w:val="FirstParagraph"/>
      </w:pPr>
      <w:r>
        <w:rPr>
          <w:b/>
          <w:bCs/>
        </w:rPr>
        <w:t xml:space="preserve">End of AI-Specific Clauses Module.</w:t>
      </w:r>
    </w:p>
    <w:p>
      <w:pPr>
        <w:pStyle w:val="BodyText"/>
      </w:pPr>
      <w:r>
        <w:rPr>
          <w:b/>
          <w:bCs/>
        </w:rPr>
        <w:t xml:space="preserve">Usage Notes</w:t>
      </w:r>
      <w:r>
        <w:t xml:space="preserve">: AI-specific clauses are routinely the last issues resolved in contract negotiation because vendors push back hardest on audit rights, data use restrictions, and exit clauses. The discipline is to treat these clauses as non-negotiable institutional requirements rather than as starting positions. Vendors who cannot meet them reveal a vendor-institution misalignment that contract negotiation cannot fix.</w:t>
      </w:r>
    </w:p>
    <w:p>
      <w:r>
        <w:pict>
          <v:rect style="width:0;height:1.5pt" o:hralign="center" o:hrstd="t" o:hr="t"/>
        </w:pict>
      </w:r>
    </w:p>
    <w:bookmarkEnd w:id="21"/>
    <w:bookmarkEnd w:id="2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2026-08-23T00:18:41Z</dcterms:created>
  <dcterms:modified xsi:type="dcterms:W3CDTF">2026-08-23T00:18:41Z</dcterms:modified>
</cp:coreProperties>
</file>

<file path=docProps/custom.xml><?xml version="1.0" encoding="utf-8"?>
<Properties xmlns="http://schemas.openxmlformats.org/officeDocument/2006/custom-properties" xmlns:vt="http://schemas.openxmlformats.org/officeDocument/2006/docPropsVTypes"/>
</file>