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9" w:name="bias-audit-report-template"/>
    <w:p>
      <w:pPr>
        <w:pStyle w:val="Heading1"/>
      </w:pPr>
      <w:r>
        <w:t xml:space="preserve">Bias Audit Report Template</w:t>
      </w:r>
    </w:p>
    <w:p>
      <w:pPr>
        <w:pStyle w:val="FirstParagraph"/>
      </w:pPr>
      <w:r>
        <w:t xml:space="preserve">Template 13 of the companion set. Extracted from</w:t>
      </w:r>
      <w:r>
        <w:t xml:space="preserve"> </w:t>
      </w:r>
      <w:r>
        <w:rPr>
          <w:i/>
          <w:iCs/>
        </w:rPr>
        <w:t xml:space="preserve">AI Governance &amp; Compliance Frameworks for the Middle East: The Enterprise Playbook</w:t>
      </w:r>
      <w:r>
        <w:t xml:space="preserve"> </w:t>
      </w:r>
      <w:r>
        <w:t xml:space="preserve">by Dr. Nabeel A. Khan (iSystematic Inc., 2026). The full set is at nabeelkhan.com/ai-governance.</w:t>
      </w:r>
    </w:p>
    <w:p>
      <w:pPr>
        <w:pStyle w:val="BodyText"/>
      </w:pPr>
      <w:r>
        <w:rPr>
          <w:b/>
          <w:bCs/>
        </w:rPr>
        <w:t xml:space="preserve">Purpose.</w:t>
      </w:r>
      <w:r>
        <w:t xml:space="preserve"> </w:t>
      </w:r>
      <w:r>
        <w:t xml:space="preserve">Document the institution's assessment of whether a model produces fair outcomes across protected attributes the relevant jurisdictions recognize.</w:t>
      </w:r>
    </w:p>
    <w:p>
      <w:pPr>
        <w:pStyle w:val="BodyText"/>
      </w:pPr>
      <w:r>
        <w:rPr>
          <w:b/>
          <w:bCs/>
        </w:rPr>
        <w:t xml:space="preserve">When to use.</w:t>
      </w:r>
      <w:r>
        <w:t xml:space="preserve"> </w:t>
      </w:r>
      <w:r>
        <w:t xml:space="preserve">Before production approval for tier-one and tier-two models, at every annual refresh, at any material change in model, data, or protected-attribute definition.</w:t>
      </w:r>
    </w:p>
    <w:p>
      <w:pPr>
        <w:pStyle w:val="BodyText"/>
      </w:pPr>
      <w:r>
        <w:rPr>
          <w:b/>
          <w:bCs/>
        </w:rPr>
        <w:t xml:space="preserve">Where the book explains it.</w:t>
      </w:r>
      <w:r>
        <w:t xml:space="preserve"> </w:t>
      </w:r>
      <w:r>
        <w:t xml:space="preserve">Operationalizes the fairness discipline Chapter 12 specifies.</w:t>
      </w:r>
    </w:p>
    <w:p>
      <w:pPr>
        <w:pStyle w:val="BodyText"/>
      </w:pPr>
      <w:r>
        <w:rPr>
          <w:b/>
          <w:bCs/>
        </w:rPr>
        <w:t xml:space="preserve">How to work with this file.</w:t>
      </w:r>
      <w:r>
        <w:t xml:space="preserve"> </w:t>
      </w:r>
      <w:r>
        <w:t xml:space="preserve">Anything in square brackets is a field for you to complete. Sections you genuinely do not need should be marked not applicable with a reason rather than deleted, because an omission and a considered exclusion look identical to an examiner six months later.</w:t>
      </w:r>
    </w:p>
    <w:p>
      <w:pPr>
        <w:pStyle w:val="BodyText"/>
      </w:pPr>
      <w:r>
        <w:t xml:space="preserve">Licensed under the Companion Working Files Licence 1.0 (nabeelkhan.com/terms#companion-files). You may complete, adapt and use this file inside your own organisation, including commercially, and you may have an AI assistant help you complete it. You may not sell it, or republish it as a template set. Keep this credit line in the document.</w:t>
      </w:r>
    </w:p>
    <w:bookmarkEnd w:id="9"/>
    <w:bookmarkStart w:id="10" w:name="bias-audit-report"/>
    <w:p>
      <w:pPr>
        <w:pStyle w:val="Heading1"/>
      </w:pPr>
      <w:r>
        <w:t xml:space="preserve">BIAS AUDIT REPORT</w:t>
      </w:r>
    </w:p>
    <w:bookmarkEnd w:id="10"/>
    <w:bookmarkStart w:id="20" w:name="model-name-vversion"/>
    <w:p>
      <w:pPr>
        <w:pStyle w:val="Heading1"/>
      </w:pPr>
      <w:r>
        <w:t xml:space="preserve">[MODEL NAME] v[VERSION]</w:t>
      </w:r>
    </w:p>
    <w:p>
      <w:pPr>
        <w:pStyle w:val="FirstParagraph"/>
      </w:pPr>
      <w:r>
        <w:rPr>
          <w:b/>
          <w:bCs/>
        </w:rPr>
        <w:t xml:space="preserve">Report Reference</w:t>
      </w:r>
      <w:r>
        <w:t xml:space="preserve">: BA-[MODEL-ID]-v[VERSION]</w:t>
      </w:r>
      <w:r>
        <w:t xml:space="preserve"> </w:t>
      </w:r>
      <w:r>
        <w:rPr>
          <w:b/>
          <w:bCs/>
        </w:rPr>
        <w:t xml:space="preserve">Audit Date</w:t>
      </w:r>
      <w:r>
        <w:t xml:space="preserve">: [DD/MM/YYYY]</w:t>
      </w:r>
      <w:r>
        <w:t xml:space="preserve"> </w:t>
      </w:r>
      <w:r>
        <w:rPr>
          <w:b/>
          <w:bCs/>
        </w:rPr>
        <w:t xml:space="preserve">Auditor(s)</w:t>
      </w:r>
      <w:r>
        <w:t xml:space="preserve">: [Names and Roles]</w:t>
      </w:r>
      <w:r>
        <w:t xml:space="preserve"> </w:t>
      </w:r>
      <w:r>
        <w:rPr>
          <w:b/>
          <w:bCs/>
        </w:rPr>
        <w:t xml:space="preserve">Approving Authority</w:t>
      </w:r>
      <w:r>
        <w:t xml:space="preserve">: [Model Validation Forum / Ethics Committee / AI Governance Committee]</w:t>
      </w:r>
      <w:r>
        <w:t xml:space="preserve"> </w:t>
      </w:r>
      <w:r>
        <w:rPr>
          <w:b/>
          <w:bCs/>
        </w:rPr>
        <w:t xml:space="preserve">Recommendation</w:t>
      </w:r>
      <w:r>
        <w:t xml:space="preserve">: [Approve / Approve with Conditions / Reject]</w:t>
      </w:r>
    </w:p>
    <w:p>
      <w:r>
        <w:pict>
          <v:rect style="width:0;height:1.5pt" o:hralign="center" o:hrstd="t" o:hr="t"/>
        </w:pict>
      </w:r>
    </w:p>
    <w:bookmarkStart w:id="11" w:name="section-1-audit-scope"/>
    <w:p>
      <w:pPr>
        <w:pStyle w:val="Heading2"/>
      </w:pPr>
      <w:r>
        <w:t xml:space="preserve">Section 1: Audit Scope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Field</w:t>
            </w:r>
          </w:p>
        </w:tc>
        <w:tc>
          <w:tcPr/>
          <w:p>
            <w:pPr>
              <w:pStyle w:val="Compact"/>
            </w:pPr>
            <w:r>
              <w:t xml:space="preserve">Value</w:t>
            </w:r>
          </w:p>
        </w:tc>
      </w:tr>
      <w:tr>
        <w:tc>
          <w:tcPr/>
          <w:p>
            <w:pPr>
              <w:pStyle w:val="Compact"/>
            </w:pPr>
            <w:r>
              <w:t xml:space="preserve">Model Identification</w:t>
            </w:r>
          </w:p>
        </w:tc>
        <w:tc>
          <w:tcPr/>
          <w:p>
            <w:pPr>
              <w:pStyle w:val="Compact"/>
            </w:pPr>
            <w:r>
              <w:t xml:space="preserve">[ID, Name, Version, Tier]</w:t>
            </w:r>
          </w:p>
        </w:tc>
      </w:tr>
      <w:tr>
        <w:tc>
          <w:tcPr/>
          <w:p>
            <w:pPr>
              <w:pStyle w:val="Compact"/>
            </w:pPr>
            <w:r>
              <w:t xml:space="preserve">Audit Period Covered</w:t>
            </w:r>
          </w:p>
        </w:tc>
        <w:tc>
          <w:tcPr/>
          <w:p>
            <w:pPr>
              <w:pStyle w:val="Compact"/>
            </w:pPr>
            <w:r>
              <w:t xml:space="preserve">[Start to End]</w:t>
            </w:r>
          </w:p>
        </w:tc>
      </w:tr>
      <w:tr>
        <w:tc>
          <w:tcPr/>
          <w:p>
            <w:pPr>
              <w:pStyle w:val="Compact"/>
            </w:pPr>
            <w:r>
              <w:t xml:space="preserve">Audit Methodology</w:t>
            </w:r>
          </w:p>
        </w:tc>
        <w:tc>
          <w:tcPr/>
          <w:p>
            <w:pPr>
              <w:pStyle w:val="Compact"/>
            </w:pPr>
            <w:r>
              <w:t xml:space="preserve">[Statistical methods applied, with citations]</w:t>
            </w:r>
          </w:p>
        </w:tc>
      </w:tr>
      <w:tr>
        <w:tc>
          <w:tcPr/>
          <w:p>
            <w:pPr>
              <w:pStyle w:val="Compact"/>
            </w:pPr>
            <w:r>
              <w:t xml:space="preserve">Auditor Independence</w:t>
            </w:r>
          </w:p>
        </w:tc>
        <w:tc>
          <w:tcPr/>
          <w:p>
            <w:pPr>
              <w:pStyle w:val="Compact"/>
            </w:pPr>
            <w:r>
              <w:t xml:space="preserve">[Attestation]</w:t>
            </w:r>
          </w:p>
        </w:tc>
      </w:tr>
      <w:tr>
        <w:tc>
          <w:tcPr/>
          <w:p>
            <w:pPr>
              <w:pStyle w:val="Compact"/>
            </w:pPr>
            <w:r>
              <w:t xml:space="preserve">Data Used for Audit</w:t>
            </w:r>
          </w:p>
        </w:tc>
        <w:tc>
          <w:tcPr/>
          <w:p>
            <w:pPr>
              <w:pStyle w:val="Compact"/>
            </w:pPr>
            <w:r>
              <w:t xml:space="preserve">[Test set / Production sample / Both]</w:t>
            </w:r>
          </w:p>
        </w:tc>
      </w:tr>
      <w:tr>
        <w:tc>
          <w:tcPr/>
          <w:p>
            <w:pPr>
              <w:pStyle w:val="Compact"/>
            </w:pPr>
            <w:r>
              <w:t xml:space="preserve">Audit Approval Authority</w:t>
            </w:r>
          </w:p>
        </w:tc>
        <w:tc>
          <w:tcPr/>
          <w:p>
            <w:pPr>
              <w:pStyle w:val="Compact"/>
            </w:pPr>
            <w:r>
              <w:t xml:space="preserve">[Reference]</w:t>
            </w:r>
          </w:p>
        </w:tc>
      </w:tr>
    </w:tbl>
    <w:p>
      <w:pPr>
        <w:pStyle w:val="BodyText"/>
      </w:pPr>
      <w:r>
        <w:rPr>
          <w:b/>
          <w:bCs/>
        </w:rPr>
        <w:t xml:space="preserve">Auditor Independence Attestation</w:t>
      </w:r>
      <w:r>
        <w:t xml:space="preserve">: I confirm that I had no role in the development of the model under audit. I confirm that I had unrestricted access to the data required for the audit. I confirm that this report represents my independent assessment.</w:t>
      </w:r>
    </w:p>
    <w:p>
      <w:pPr>
        <w:pStyle w:val="BodyText"/>
      </w:pPr>
      <w:r>
        <w:t xml:space="preserve">Signed: [Name, Date]</w:t>
      </w:r>
    </w:p>
    <w:p>
      <w:r>
        <w:pict>
          <v:rect style="width:0;height:1.5pt" o:hralign="center" o:hrstd="t" o:hr="t"/>
        </w:pict>
      </w:r>
    </w:p>
    <w:bookmarkEnd w:id="11"/>
    <w:bookmarkStart w:id="12" w:name="section-2-protected-attribute-inventory"/>
    <w:p>
      <w:pPr>
        <w:pStyle w:val="Heading2"/>
      </w:pPr>
      <w:r>
        <w:t xml:space="preserve">Section 2: Protected-Attribute Inventory</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Protected Attribute</w:t>
            </w:r>
          </w:p>
        </w:tc>
        <w:tc>
          <w:tcPr/>
          <w:p>
            <w:pPr>
              <w:pStyle w:val="Compact"/>
            </w:pPr>
            <w:r>
              <w:t xml:space="preserve">Jurisdictional Basis (Article Citation)</w:t>
            </w:r>
          </w:p>
        </w:tc>
        <w:tc>
          <w:tcPr/>
          <w:p>
            <w:pPr>
              <w:pStyle w:val="Compact"/>
            </w:pPr>
            <w:r>
              <w:t xml:space="preserve">Prevalence in Training Data</w:t>
            </w:r>
          </w:p>
        </w:tc>
        <w:tc>
          <w:tcPr/>
          <w:p>
            <w:pPr>
              <w:pStyle w:val="Compact"/>
            </w:pPr>
            <w:r>
              <w:t xml:space="preserve">Prevalence in Production Population</w:t>
            </w:r>
          </w:p>
        </w:tc>
      </w:tr>
      <w:tr>
        <w:tc>
          <w:tcPr/>
          <w:p>
            <w:pPr>
              <w:pStyle w:val="Compact"/>
            </w:pPr>
            <w:r>
              <w:t xml:space="preserve">Nationality (UAE national vs non-UAE)</w:t>
            </w:r>
          </w:p>
        </w:tc>
        <w:tc>
          <w:tcPr/>
          <w:p>
            <w:pPr>
              <w:pStyle w:val="Compact"/>
            </w:pPr>
            <w:r>
              <w:t xml:space="preserve">UAE PDPL sensitive personal data (Article 1); CBUAE customer protection</w:t>
            </w:r>
          </w:p>
        </w:tc>
        <w:tc>
          <w:tcPr/>
          <w:p>
            <w:pPr>
              <w:pStyle w:val="Compact"/>
            </w:pPr>
            <w:r>
              <w:t xml:space="preserve">[%]</w:t>
            </w:r>
          </w:p>
        </w:tc>
        <w:tc>
          <w:tcPr/>
          <w:p>
            <w:pPr>
              <w:pStyle w:val="Compact"/>
            </w:pPr>
            <w:r>
              <w:t xml:space="preserve">[%]</w:t>
            </w:r>
          </w:p>
        </w:tc>
      </w:tr>
      <w:tr>
        <w:tc>
          <w:tcPr/>
          <w:p>
            <w:pPr>
              <w:pStyle w:val="Compact"/>
            </w:pPr>
            <w:r>
              <w:t xml:space="preserve">Gender</w:t>
            </w:r>
          </w:p>
        </w:tc>
        <w:tc>
          <w:tcPr/>
          <w:p>
            <w:pPr>
              <w:pStyle w:val="Compact"/>
            </w:pPr>
            <w:r>
              <w:t xml:space="preserve">UAE PDPL sensitive personal data (Article 1)</w:t>
            </w:r>
          </w:p>
        </w:tc>
        <w:tc>
          <w:tcPr/>
          <w:p>
            <w:pPr>
              <w:pStyle w:val="Compact"/>
            </w:pPr>
            <w:r>
              <w:t xml:space="preserve">[%]</w:t>
            </w:r>
          </w:p>
        </w:tc>
        <w:tc>
          <w:tcPr/>
          <w:p>
            <w:pPr>
              <w:pStyle w:val="Compact"/>
            </w:pPr>
            <w:r>
              <w:t xml:space="preserve">[%]</w:t>
            </w:r>
          </w:p>
        </w:tc>
      </w:tr>
      <w:tr>
        <w:tc>
          <w:tcPr/>
          <w:p>
            <w:pPr>
              <w:pStyle w:val="Compact"/>
            </w:pPr>
            <w:r>
              <w:t xml:space="preserve">Age band (18-25, 26-40, 41-55, 56+)</w:t>
            </w:r>
          </w:p>
        </w:tc>
        <w:tc>
          <w:tcPr/>
          <w:p>
            <w:pPr>
              <w:pStyle w:val="Compact"/>
            </w:pPr>
            <w:r>
              <w:t xml:space="preserve">UAE PDPL sensitive personal data (Article 1); age treated as sensitive in credit</w:t>
            </w:r>
          </w:p>
        </w:tc>
        <w:tc>
          <w:tcPr/>
          <w:p>
            <w:pPr>
              <w:pStyle w:val="Compact"/>
            </w:pPr>
            <w:r>
              <w:t xml:space="preserve">[%]</w:t>
            </w:r>
          </w:p>
        </w:tc>
        <w:tc>
          <w:tcPr/>
          <w:p>
            <w:pPr>
              <w:pStyle w:val="Compact"/>
            </w:pPr>
            <w:r>
              <w:t xml:space="preserve">[%]</w:t>
            </w:r>
          </w:p>
        </w:tc>
      </w:tr>
      <w:tr>
        <w:tc>
          <w:tcPr/>
          <w:p>
            <w:pPr>
              <w:pStyle w:val="Compact"/>
            </w:pPr>
            <w:r>
              <w:t xml:space="preserve">Religion</w:t>
            </w:r>
          </w:p>
        </w:tc>
        <w:tc>
          <w:tcPr/>
          <w:p>
            <w:pPr>
              <w:pStyle w:val="Compact"/>
            </w:pPr>
            <w:r>
              <w:t xml:space="preserve">UAE PDPL sensitive personal data (Article 1)</w:t>
            </w:r>
          </w:p>
        </w:tc>
        <w:tc>
          <w:tcPr/>
          <w:p>
            <w:pPr>
              <w:pStyle w:val="Compact"/>
            </w:pPr>
            <w:r>
              <w:t xml:space="preserve">[Excluded from inputs]</w:t>
            </w:r>
          </w:p>
        </w:tc>
        <w:tc>
          <w:tcPr/>
          <w:p>
            <w:pPr>
              <w:pStyle w:val="Compact"/>
            </w:pPr>
            <w:r>
              <w:t xml:space="preserve">[N/A]</w:t>
            </w:r>
          </w:p>
        </w:tc>
      </w:tr>
      <w:tr>
        <w:tc>
          <w:tcPr/>
          <w:p>
            <w:pPr>
              <w:pStyle w:val="Compact"/>
            </w:pPr>
            <w:r>
              <w:t xml:space="preserve">Emirate of residence</w:t>
            </w:r>
          </w:p>
        </w:tc>
        <w:tc>
          <w:tcPr/>
          <w:p>
            <w:pPr>
              <w:pStyle w:val="Compact"/>
            </w:pPr>
            <w:r>
              <w:t xml:space="preserve">CBUAE customer protection (geographic equity)</w:t>
            </w:r>
          </w:p>
        </w:tc>
        <w:tc>
          <w:tcPr/>
          <w:p>
            <w:pPr>
              <w:pStyle w:val="Compact"/>
            </w:pPr>
            <w:r>
              <w:t xml:space="preserve">[%]</w:t>
            </w:r>
          </w:p>
        </w:tc>
        <w:tc>
          <w:tcPr/>
          <w:p>
            <w:pPr>
              <w:pStyle w:val="Compact"/>
            </w:pPr>
            <w:r>
              <w:t xml:space="preserve">[%]</w:t>
            </w:r>
          </w:p>
        </w:tc>
      </w:tr>
      <w:tr>
        <w:tc>
          <w:tcPr/>
          <w:p>
            <w:pPr>
              <w:pStyle w:val="Compact"/>
            </w:pPr>
            <w:r>
              <w:t xml:space="preserve">[Add per institution and jurisdiction]</w:t>
            </w:r>
          </w:p>
        </w:tc>
        <w:tc>
          <w:tcPr/>
          <w:p>
            <w:pPr>
              <w:pStyle w:val="Compact"/>
            </w:pPr>
            <w:r>
              <w:t xml:space="preserve">[Citation]</w:t>
            </w:r>
          </w:p>
        </w:tc>
        <w:tc>
          <w:tcPr/>
          <w:p>
            <w:pPr>
              <w:pStyle w:val="Compact"/>
            </w:pPr>
            <w:r>
              <w:t xml:space="preserve">[%]</w:t>
            </w:r>
          </w:p>
        </w:tc>
        <w:tc>
          <w:tcPr/>
          <w:p>
            <w:pPr>
              <w:pStyle w:val="Compact"/>
            </w:pPr>
            <w:r>
              <w:t xml:space="preserve">[%]</w:t>
            </w:r>
          </w:p>
        </w:tc>
      </w:tr>
    </w:tbl>
    <w:p>
      <w:pPr>
        <w:pStyle w:val="BodyText"/>
      </w:pPr>
      <w:r>
        <w:rPr>
          <w:b/>
          <w:bCs/>
        </w:rPr>
        <w:t xml:space="preserve">Excluded Attributes (with rationale)</w:t>
      </w:r>
      <w:r>
        <w:t xml:space="preserve">:</w:t>
      </w:r>
    </w:p>
    <w:p>
      <w:pPr>
        <w:pStyle w:val="Compact"/>
        <w:numPr>
          <w:ilvl w:val="0"/>
          <w:numId w:val="1001"/>
        </w:numPr>
      </w:pPr>
      <w:r>
        <w:t xml:space="preserve">[Attribute]: [Rationale, e.g., not collected, prohibited as input, not statistically meaningful in deployment population]</w:t>
      </w:r>
    </w:p>
    <w:p>
      <w:r>
        <w:pict>
          <v:rect style="width:0;height:1.5pt" o:hralign="center" o:hrstd="t" o:hr="t"/>
        </w:pict>
      </w:r>
    </w:p>
    <w:bookmarkEnd w:id="12"/>
    <w:bookmarkStart w:id="13" w:name="section-3-fairness-metrics"/>
    <w:p>
      <w:pPr>
        <w:pStyle w:val="Heading2"/>
      </w:pPr>
      <w:r>
        <w:t xml:space="preserve">Section 3: Fairness Metrics</w:t>
      </w:r>
    </w:p>
    <w:p>
      <w:pPr>
        <w:pStyle w:val="FirstParagraph"/>
      </w:pPr>
      <w:r>
        <w:t xml:space="preserve">For each protected attribute and each fairness metric, the table records observed value, threshold, and pass/fail.</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Attribute</w:t>
            </w:r>
          </w:p>
        </w:tc>
        <w:tc>
          <w:tcPr/>
          <w:p>
            <w:pPr>
              <w:pStyle w:val="Compact"/>
            </w:pPr>
            <w:r>
              <w:t xml:space="preserve">Metric</w:t>
            </w:r>
          </w:p>
        </w:tc>
        <w:tc>
          <w:tcPr/>
          <w:p>
            <w:pPr>
              <w:pStyle w:val="Compact"/>
            </w:pPr>
            <w:r>
              <w:t xml:space="preserve">Observed Value</w:t>
            </w:r>
          </w:p>
        </w:tc>
        <w:tc>
          <w:tcPr/>
          <w:p>
            <w:pPr>
              <w:pStyle w:val="Compact"/>
            </w:pPr>
            <w:r>
              <w:t xml:space="preserve">Threshold</w:t>
            </w:r>
          </w:p>
        </w:tc>
        <w:tc>
          <w:tcPr/>
          <w:p>
            <w:pPr>
              <w:pStyle w:val="Compact"/>
            </w:pPr>
            <w:r>
              <w:t xml:space="preserve">Result</w:t>
            </w:r>
          </w:p>
        </w:tc>
      </w:tr>
      <w:tr>
        <w:tc>
          <w:tcPr/>
          <w:p>
            <w:pPr>
              <w:pStyle w:val="Compact"/>
            </w:pPr>
            <w:r>
              <w:t xml:space="preserve">Nationality</w:t>
            </w:r>
          </w:p>
        </w:tc>
        <w:tc>
          <w:tcPr/>
          <w:p>
            <w:pPr>
              <w:pStyle w:val="Compact"/>
            </w:pPr>
            <w:r>
              <w:t xml:space="preserve">Disparate Impact (selection rate ratio)</w:t>
            </w:r>
          </w:p>
        </w:tc>
        <w:tc>
          <w:tcPr/>
          <w:p>
            <w:pPr>
              <w:pStyle w:val="Compact"/>
            </w:pPr>
            <w:r>
              <w:t xml:space="preserve">[Value]</w:t>
            </w:r>
          </w:p>
        </w:tc>
        <w:tc>
          <w:tcPr/>
          <w:p>
            <w:pPr>
              <w:pStyle w:val="Compact"/>
            </w:pPr>
            <w:r>
              <w:t xml:space="preserve">0.80 to 1.25 (four-fifths rule)</w:t>
            </w:r>
          </w:p>
        </w:tc>
        <w:tc>
          <w:tcPr/>
          <w:p>
            <w:pPr>
              <w:pStyle w:val="Compact"/>
            </w:pPr>
            <w:r>
              <w:t xml:space="preserve">[Pass/Fail]</w:t>
            </w:r>
          </w:p>
        </w:tc>
      </w:tr>
      <w:tr>
        <w:tc>
          <w:tcPr/>
          <w:p>
            <w:pPr>
              <w:pStyle w:val="Compact"/>
            </w:pPr>
            <w:r>
              <w:t xml:space="preserve">Nationality</w:t>
            </w:r>
          </w:p>
        </w:tc>
        <w:tc>
          <w:tcPr/>
          <w:p>
            <w:pPr>
              <w:pStyle w:val="Compact"/>
            </w:pPr>
            <w:r>
              <w:t xml:space="preserve">Equal Opportunity (TPR difference)</w:t>
            </w:r>
          </w:p>
        </w:tc>
        <w:tc>
          <w:tcPr/>
          <w:p>
            <w:pPr>
              <w:pStyle w:val="Compact"/>
            </w:pPr>
            <w:r>
              <w:t xml:space="preserve">[Value]</w:t>
            </w:r>
          </w:p>
        </w:tc>
        <w:tc>
          <w:tcPr/>
          <w:p>
            <w:pPr>
              <w:pStyle w:val="Compact"/>
            </w:pPr>
            <w:r>
              <w:t xml:space="preserve">&lt;= 0.05 absolute</w:t>
            </w:r>
          </w:p>
        </w:tc>
        <w:tc>
          <w:tcPr/>
          <w:p>
            <w:pPr>
              <w:pStyle w:val="Compact"/>
            </w:pPr>
            <w:r>
              <w:t xml:space="preserve">[Pass/Fail]</w:t>
            </w:r>
          </w:p>
        </w:tc>
      </w:tr>
      <w:tr>
        <w:tc>
          <w:tcPr/>
          <w:p>
            <w:pPr>
              <w:pStyle w:val="Compact"/>
            </w:pPr>
            <w:r>
              <w:t xml:space="preserve">Nationality</w:t>
            </w:r>
          </w:p>
        </w:tc>
        <w:tc>
          <w:tcPr/>
          <w:p>
            <w:pPr>
              <w:pStyle w:val="Compact"/>
            </w:pPr>
            <w:r>
              <w:t xml:space="preserve">Predictive Parity (PPV difference)</w:t>
            </w:r>
          </w:p>
        </w:tc>
        <w:tc>
          <w:tcPr/>
          <w:p>
            <w:pPr>
              <w:pStyle w:val="Compact"/>
            </w:pPr>
            <w:r>
              <w:t xml:space="preserve">[Value]</w:t>
            </w:r>
          </w:p>
        </w:tc>
        <w:tc>
          <w:tcPr/>
          <w:p>
            <w:pPr>
              <w:pStyle w:val="Compact"/>
            </w:pPr>
            <w:r>
              <w:t xml:space="preserve">&lt;= 0.05 absolute</w:t>
            </w:r>
          </w:p>
        </w:tc>
        <w:tc>
          <w:tcPr/>
          <w:p>
            <w:pPr>
              <w:pStyle w:val="Compact"/>
            </w:pPr>
            <w:r>
              <w:t xml:space="preserve">[Pass/Fail]</w:t>
            </w:r>
          </w:p>
        </w:tc>
      </w:tr>
      <w:tr>
        <w:tc>
          <w:tcPr/>
          <w:p>
            <w:pPr>
              <w:pStyle w:val="Compact"/>
            </w:pPr>
            <w:r>
              <w:t xml:space="preserve">Nationality</w:t>
            </w:r>
          </w:p>
        </w:tc>
        <w:tc>
          <w:tcPr/>
          <w:p>
            <w:pPr>
              <w:pStyle w:val="Compact"/>
            </w:pPr>
            <w:r>
              <w:t xml:space="preserve">Calibration Gap</w:t>
            </w:r>
          </w:p>
        </w:tc>
        <w:tc>
          <w:tcPr/>
          <w:p>
            <w:pPr>
              <w:pStyle w:val="Compact"/>
            </w:pPr>
            <w:r>
              <w:t xml:space="preserve">[Value]</w:t>
            </w:r>
          </w:p>
        </w:tc>
        <w:tc>
          <w:tcPr/>
          <w:p>
            <w:pPr>
              <w:pStyle w:val="Compact"/>
            </w:pPr>
            <w:r>
              <w:t xml:space="preserve">&lt;= 0.05 absolute</w:t>
            </w:r>
          </w:p>
        </w:tc>
        <w:tc>
          <w:tcPr/>
          <w:p>
            <w:pPr>
              <w:pStyle w:val="Compact"/>
            </w:pPr>
            <w:r>
              <w:t xml:space="preserve">[Pass/Fail]</w:t>
            </w:r>
          </w:p>
        </w:tc>
      </w:tr>
      <w:tr>
        <w:tc>
          <w:tcPr/>
          <w:p>
            <w:pPr>
              <w:pStyle w:val="Compact"/>
            </w:pPr>
            <w:r>
              <w:t xml:space="preserve">Gender</w:t>
            </w:r>
          </w:p>
        </w:tc>
        <w:tc>
          <w:tcPr/>
          <w:p>
            <w:pPr>
              <w:pStyle w:val="Compact"/>
            </w:pPr>
            <w:r>
              <w:t xml:space="preserve">Disparate Impact</w:t>
            </w:r>
          </w:p>
        </w:tc>
        <w:tc>
          <w:tcPr/>
          <w:p>
            <w:pPr>
              <w:pStyle w:val="Compact"/>
            </w:pPr>
            <w:r>
              <w:t xml:space="preserve">[Value]</w:t>
            </w:r>
          </w:p>
        </w:tc>
        <w:tc>
          <w:tcPr/>
          <w:p>
            <w:pPr>
              <w:pStyle w:val="Compact"/>
            </w:pPr>
            <w:r>
              <w:t xml:space="preserve">0.80 to 1.25</w:t>
            </w:r>
          </w:p>
        </w:tc>
        <w:tc>
          <w:tcPr/>
          <w:p>
            <w:pPr>
              <w:pStyle w:val="Compact"/>
            </w:pPr>
            <w:r>
              <w:t xml:space="preserve">[Pass/Fail]</w:t>
            </w:r>
          </w:p>
        </w:tc>
      </w:tr>
      <w:tr>
        <w:tc>
          <w:tcPr/>
          <w:p>
            <w:pPr>
              <w:pStyle w:val="Compact"/>
            </w:pPr>
            <w:r>
              <w:t xml:space="preserve">Gender</w:t>
            </w:r>
          </w:p>
        </w:tc>
        <w:tc>
          <w:tcPr/>
          <w:p>
            <w:pPr>
              <w:pStyle w:val="Compact"/>
            </w:pPr>
            <w:r>
              <w:t xml:space="preserve">Equal Opportunity</w:t>
            </w:r>
          </w:p>
        </w:tc>
        <w:tc>
          <w:tcPr/>
          <w:p>
            <w:pPr>
              <w:pStyle w:val="Compact"/>
            </w:pPr>
            <w:r>
              <w:t xml:space="preserve">[Value]</w:t>
            </w:r>
          </w:p>
        </w:tc>
        <w:tc>
          <w:tcPr/>
          <w:p>
            <w:pPr>
              <w:pStyle w:val="Compact"/>
            </w:pPr>
            <w:r>
              <w:t xml:space="preserve">&lt;= 0.05</w:t>
            </w:r>
          </w:p>
        </w:tc>
        <w:tc>
          <w:tcPr/>
          <w:p>
            <w:pPr>
              <w:pStyle w:val="Compact"/>
            </w:pPr>
            <w:r>
              <w:t xml:space="preserve">[Pass/Fail]</w:t>
            </w:r>
          </w:p>
        </w:tc>
      </w:tr>
      <w:tr>
        <w:tc>
          <w:tcPr/>
          <w:p>
            <w:pPr>
              <w:pStyle w:val="Compact"/>
            </w:pPr>
            <w:r>
              <w:t xml:space="preserve">Gender</w:t>
            </w:r>
          </w:p>
        </w:tc>
        <w:tc>
          <w:tcPr/>
          <w:p>
            <w:pPr>
              <w:pStyle w:val="Compact"/>
            </w:pPr>
            <w:r>
              <w:t xml:space="preserve">Predictive Parity</w:t>
            </w:r>
          </w:p>
        </w:tc>
        <w:tc>
          <w:tcPr/>
          <w:p>
            <w:pPr>
              <w:pStyle w:val="Compact"/>
            </w:pPr>
            <w:r>
              <w:t xml:space="preserve">[Value]</w:t>
            </w:r>
          </w:p>
        </w:tc>
        <w:tc>
          <w:tcPr/>
          <w:p>
            <w:pPr>
              <w:pStyle w:val="Compact"/>
            </w:pPr>
            <w:r>
              <w:t xml:space="preserve">&lt;= 0.05</w:t>
            </w:r>
          </w:p>
        </w:tc>
        <w:tc>
          <w:tcPr/>
          <w:p>
            <w:pPr>
              <w:pStyle w:val="Compact"/>
            </w:pPr>
            <w:r>
              <w:t xml:space="preserve">[Pass/Fail]</w:t>
            </w:r>
          </w:p>
        </w:tc>
      </w:tr>
      <w:tr>
        <w:tc>
          <w:tcPr/>
          <w:p>
            <w:pPr>
              <w:pStyle w:val="Compact"/>
            </w:pPr>
            <w:r>
              <w:t xml:space="preserve">Gender</w:t>
            </w:r>
          </w:p>
        </w:tc>
        <w:tc>
          <w:tcPr/>
          <w:p>
            <w:pPr>
              <w:pStyle w:val="Compact"/>
            </w:pPr>
            <w:r>
              <w:t xml:space="preserve">Calibration Gap</w:t>
            </w:r>
          </w:p>
        </w:tc>
        <w:tc>
          <w:tcPr/>
          <w:p>
            <w:pPr>
              <w:pStyle w:val="Compact"/>
            </w:pPr>
            <w:r>
              <w:t xml:space="preserve">[Value]</w:t>
            </w:r>
          </w:p>
        </w:tc>
        <w:tc>
          <w:tcPr/>
          <w:p>
            <w:pPr>
              <w:pStyle w:val="Compact"/>
            </w:pPr>
            <w:r>
              <w:t xml:space="preserve">&lt;= 0.05</w:t>
            </w:r>
          </w:p>
        </w:tc>
        <w:tc>
          <w:tcPr/>
          <w:p>
            <w:pPr>
              <w:pStyle w:val="Compact"/>
            </w:pPr>
            <w:r>
              <w:t xml:space="preserve">[Pass/Fail]</w:t>
            </w:r>
          </w:p>
        </w:tc>
      </w:tr>
      <w:tr>
        <w:tc>
          <w:tcPr/>
          <w:p>
            <w:pPr>
              <w:pStyle w:val="Compact"/>
            </w:pPr>
            <w:r>
              <w:t xml:space="preserve">[Repeat for each attribute]</w:t>
            </w:r>
          </w:p>
        </w:tc>
        <w:tc>
          <w:tcPr/>
          <w:p>
            <w:pPr>
              <w:pStyle w:val="Compact"/>
            </w:pPr>
          </w:p>
        </w:tc>
        <w:tc>
          <w:tcPr/>
          <w:p>
            <w:pPr>
              <w:pStyle w:val="Compact"/>
            </w:pPr>
          </w:p>
        </w:tc>
        <w:tc>
          <w:tcPr/>
          <w:p>
            <w:pPr>
              <w:pStyle w:val="Compact"/>
            </w:pPr>
          </w:p>
        </w:tc>
        <w:tc>
          <w:tcPr/>
          <w:p>
            <w:pPr>
              <w:pStyle w:val="Compact"/>
            </w:pPr>
          </w:p>
        </w:tc>
      </w:tr>
    </w:tbl>
    <w:p>
      <w:r>
        <w:pict>
          <v:rect style="width:0;height:1.5pt" o:hralign="center" o:hrstd="t" o:hr="t"/>
        </w:pict>
      </w:r>
    </w:p>
    <w:bookmarkEnd w:id="13"/>
    <w:bookmarkStart w:id="14" w:name="section-4-subgroup-performance"/>
    <w:p>
      <w:pPr>
        <w:pStyle w:val="Heading2"/>
      </w:pPr>
      <w:r>
        <w:t xml:space="preserve">Section 4: Subgroup Performance</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Attribute Subgroup</w:t>
            </w:r>
          </w:p>
        </w:tc>
        <w:tc>
          <w:tcPr/>
          <w:p>
            <w:pPr>
              <w:pStyle w:val="Compact"/>
            </w:pPr>
            <w:r>
              <w:t xml:space="preserve">Accuracy</w:t>
            </w:r>
          </w:p>
        </w:tc>
        <w:tc>
          <w:tcPr/>
          <w:p>
            <w:pPr>
              <w:pStyle w:val="Compact"/>
            </w:pPr>
            <w:r>
              <w:t xml:space="preserve">Precision</w:t>
            </w:r>
          </w:p>
        </w:tc>
        <w:tc>
          <w:tcPr/>
          <w:p>
            <w:pPr>
              <w:pStyle w:val="Compact"/>
            </w:pPr>
            <w:r>
              <w:t xml:space="preserve">Recall</w:t>
            </w:r>
          </w:p>
        </w:tc>
        <w:tc>
          <w:tcPr/>
          <w:p>
            <w:pPr>
              <w:pStyle w:val="Compact"/>
            </w:pPr>
            <w:r>
              <w:t xml:space="preserve">AUC-ROC</w:t>
            </w:r>
          </w:p>
        </w:tc>
        <w:tc>
          <w:tcPr/>
          <w:p>
            <w:pPr>
              <w:pStyle w:val="Compact"/>
            </w:pPr>
            <w:r>
              <w:t xml:space="preserve">Sample N</w:t>
            </w:r>
          </w:p>
        </w:tc>
      </w:tr>
      <w:tr>
        <w:tc>
          <w:tcPr/>
          <w:p>
            <w:pPr>
              <w:pStyle w:val="Compact"/>
            </w:pPr>
            <w:r>
              <w:t xml:space="preserve">UAE national</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[N]</w:t>
            </w:r>
          </w:p>
        </w:tc>
      </w:tr>
      <w:tr>
        <w:tc>
          <w:tcPr/>
          <w:p>
            <w:pPr>
              <w:pStyle w:val="Compact"/>
            </w:pPr>
            <w:r>
              <w:t xml:space="preserve">Non-UAE national</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[N]</w:t>
            </w:r>
          </w:p>
        </w:tc>
      </w:tr>
      <w:tr>
        <w:tc>
          <w:tcPr/>
          <w:p>
            <w:pPr>
              <w:pStyle w:val="Compact"/>
            </w:pPr>
            <w:r>
              <w:t xml:space="preserve">Female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[N]</w:t>
            </w:r>
          </w:p>
        </w:tc>
      </w:tr>
      <w:tr>
        <w:tc>
          <w:tcPr/>
          <w:p>
            <w:pPr>
              <w:pStyle w:val="Compact"/>
            </w:pPr>
            <w:r>
              <w:t xml:space="preserve">Male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[N]</w:t>
            </w:r>
          </w:p>
        </w:tc>
      </w:tr>
      <w:tr>
        <w:tc>
          <w:tcPr/>
          <w:p>
            <w:pPr>
              <w:pStyle w:val="Compact"/>
            </w:pPr>
            <w:r>
              <w:t xml:space="preserve">Age 18-25</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[N]</w:t>
            </w:r>
          </w:p>
        </w:tc>
      </w:tr>
      <w:tr>
        <w:tc>
          <w:tcPr/>
          <w:p>
            <w:pPr>
              <w:pStyle w:val="Compact"/>
            </w:pPr>
            <w:r>
              <w:t xml:space="preserve">Age 26-40</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[N]</w:t>
            </w:r>
          </w:p>
        </w:tc>
      </w:tr>
      <w:tr>
        <w:tc>
          <w:tcPr/>
          <w:p>
            <w:pPr>
              <w:pStyle w:val="Compact"/>
            </w:pPr>
            <w:r>
              <w:t xml:space="preserve">Age 41-55</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[N]</w:t>
            </w:r>
          </w:p>
        </w:tc>
      </w:tr>
      <w:tr>
        <w:tc>
          <w:tcPr/>
          <w:p>
            <w:pPr>
              <w:pStyle w:val="Compact"/>
            </w:pPr>
            <w:r>
              <w:t xml:space="preserve">Age 56+</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[Value]</w:t>
            </w:r>
          </w:p>
        </w:tc>
        <w:tc>
          <w:tcPr/>
          <w:p>
            <w:pPr>
              <w:pStyle w:val="Compact"/>
            </w:pPr>
            <w:r>
              <w:t xml:space="preserve">[N]</w:t>
            </w:r>
          </w:p>
        </w:tc>
      </w:tr>
    </w:tbl>
    <w:p>
      <w:pPr>
        <w:pStyle w:val="BodyText"/>
      </w:pPr>
      <w:r>
        <w:rPr>
          <w:b/>
          <w:bCs/>
        </w:rPr>
        <w:t xml:space="preserve">Performance Gap Analysis</w:t>
      </w:r>
      <w:r>
        <w:t xml:space="preserve">: [Subgroups where gap exceeds institutional tolerance, with statistical significance assessment]</w:t>
      </w:r>
    </w:p>
    <w:p>
      <w:r>
        <w:pict>
          <v:rect style="width:0;height:1.5pt" o:hralign="center" o:hrstd="t" o:hr="t"/>
        </w:pict>
      </w:r>
    </w:p>
    <w:bookmarkEnd w:id="14"/>
    <w:bookmarkStart w:id="15" w:name="section-5-mitigation-methods-applied"/>
    <w:p>
      <w:pPr>
        <w:pStyle w:val="Heading2"/>
      </w:pPr>
      <w:r>
        <w:t xml:space="preserve">Section 5: Mitigation Methods Applied</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Mitigation Type</w:t>
            </w:r>
          </w:p>
        </w:tc>
        <w:tc>
          <w:tcPr/>
          <w:p>
            <w:pPr>
              <w:pStyle w:val="Compact"/>
            </w:pPr>
            <w:r>
              <w:t xml:space="preserve">Method</w:t>
            </w:r>
          </w:p>
        </w:tc>
        <w:tc>
          <w:tcPr/>
          <w:p>
            <w:pPr>
              <w:pStyle w:val="Compact"/>
            </w:pPr>
            <w:r>
              <w:t xml:space="preserve">Applied To</w:t>
            </w:r>
          </w:p>
        </w:tc>
        <w:tc>
          <w:tcPr/>
          <w:p>
            <w:pPr>
              <w:pStyle w:val="Compact"/>
            </w:pPr>
            <w:r>
              <w:t xml:space="preserve">Before</w:t>
            </w:r>
          </w:p>
        </w:tc>
        <w:tc>
          <w:tcPr/>
          <w:p>
            <w:pPr>
              <w:pStyle w:val="Compact"/>
            </w:pPr>
            <w:r>
              <w:t xml:space="preserve">After</w:t>
            </w:r>
          </w:p>
        </w:tc>
        <w:tc>
          <w:tcPr/>
          <w:p>
            <w:pPr>
              <w:pStyle w:val="Compact"/>
            </w:pPr>
            <w:r>
              <w:t xml:space="preserve">Effectiveness</w:t>
            </w:r>
          </w:p>
        </w:tc>
      </w:tr>
      <w:tr>
        <w:tc>
          <w:tcPr/>
          <w:p>
            <w:pPr>
              <w:pStyle w:val="Compact"/>
            </w:pPr>
            <w:r>
              <w:t xml:space="preserve">Pre-processing</w:t>
            </w:r>
          </w:p>
        </w:tc>
        <w:tc>
          <w:tcPr/>
          <w:p>
            <w:pPr>
              <w:pStyle w:val="Compact"/>
            </w:pPr>
            <w:r>
              <w:t xml:space="preserve">Data rebalancing on age subgroups</w:t>
            </w:r>
          </w:p>
        </w:tc>
        <w:tc>
          <w:tcPr/>
          <w:p>
            <w:pPr>
              <w:pStyle w:val="Compact"/>
            </w:pPr>
            <w:r>
              <w:t xml:space="preserve">Training set</w:t>
            </w:r>
          </w:p>
        </w:tc>
        <w:tc>
          <w:tcPr/>
          <w:p>
            <w:pPr>
              <w:pStyle w:val="Compact"/>
            </w:pPr>
            <w:r>
              <w:t xml:space="preserve">[Metric]</w:t>
            </w:r>
          </w:p>
        </w:tc>
        <w:tc>
          <w:tcPr/>
          <w:p>
            <w:pPr>
              <w:pStyle w:val="Compact"/>
            </w:pPr>
            <w:r>
              <w:t xml:space="preserve">[Metric]</w:t>
            </w:r>
          </w:p>
        </w:tc>
        <w:tc>
          <w:tcPr/>
          <w:p>
            <w:pPr>
              <w:pStyle w:val="Compact"/>
            </w:pPr>
            <w:r>
              <w:t xml:space="preserve">[Statement]</w:t>
            </w:r>
          </w:p>
        </w:tc>
      </w:tr>
      <w:tr>
        <w:tc>
          <w:tcPr/>
          <w:p>
            <w:pPr>
              <w:pStyle w:val="Compact"/>
            </w:pPr>
            <w:r>
              <w:t xml:space="preserve">In-processing</w:t>
            </w:r>
          </w:p>
        </w:tc>
        <w:tc>
          <w:tcPr/>
          <w:p>
            <w:pPr>
              <w:pStyle w:val="Compact"/>
            </w:pPr>
            <w:r>
              <w:t xml:space="preserve">Adversarial debiasing on nationality</w:t>
            </w:r>
          </w:p>
        </w:tc>
        <w:tc>
          <w:tcPr/>
          <w:p>
            <w:pPr>
              <w:pStyle w:val="Compact"/>
            </w:pPr>
            <w:r>
              <w:t xml:space="preserve">Model objective</w:t>
            </w:r>
          </w:p>
        </w:tc>
        <w:tc>
          <w:tcPr/>
          <w:p>
            <w:pPr>
              <w:pStyle w:val="Compact"/>
            </w:pPr>
            <w:r>
              <w:t xml:space="preserve">[Metric]</w:t>
            </w:r>
          </w:p>
        </w:tc>
        <w:tc>
          <w:tcPr/>
          <w:p>
            <w:pPr>
              <w:pStyle w:val="Compact"/>
            </w:pPr>
            <w:r>
              <w:t xml:space="preserve">[Metric]</w:t>
            </w:r>
          </w:p>
        </w:tc>
        <w:tc>
          <w:tcPr/>
          <w:p>
            <w:pPr>
              <w:pStyle w:val="Compact"/>
            </w:pPr>
            <w:r>
              <w:t xml:space="preserve">[Statement]</w:t>
            </w:r>
          </w:p>
        </w:tc>
      </w:tr>
      <w:tr>
        <w:tc>
          <w:tcPr/>
          <w:p>
            <w:pPr>
              <w:pStyle w:val="Compact"/>
            </w:pPr>
            <w:r>
              <w:t xml:space="preserve">Post-processing</w:t>
            </w:r>
          </w:p>
        </w:tc>
        <w:tc>
          <w:tcPr/>
          <w:p>
            <w:pPr>
              <w:pStyle w:val="Compact"/>
            </w:pPr>
            <w:r>
              <w:t xml:space="preserve">Threshold adjustment on gender</w:t>
            </w:r>
          </w:p>
        </w:tc>
        <w:tc>
          <w:tcPr/>
          <w:p>
            <w:pPr>
              <w:pStyle w:val="Compact"/>
            </w:pPr>
            <w:r>
              <w:t xml:space="preserve">Output</w:t>
            </w:r>
          </w:p>
        </w:tc>
        <w:tc>
          <w:tcPr/>
          <w:p>
            <w:pPr>
              <w:pStyle w:val="Compact"/>
            </w:pPr>
            <w:r>
              <w:t xml:space="preserve">[Metric]</w:t>
            </w:r>
          </w:p>
        </w:tc>
        <w:tc>
          <w:tcPr/>
          <w:p>
            <w:pPr>
              <w:pStyle w:val="Compact"/>
            </w:pPr>
            <w:r>
              <w:t xml:space="preserve">[Metric]</w:t>
            </w:r>
          </w:p>
        </w:tc>
        <w:tc>
          <w:tcPr/>
          <w:p>
            <w:pPr>
              <w:pStyle w:val="Compact"/>
            </w:pPr>
            <w:r>
              <w:t xml:space="preserve">[Statement]</w:t>
            </w:r>
          </w:p>
        </w:tc>
      </w:tr>
    </w:tbl>
    <w:p>
      <w:pPr>
        <w:pStyle w:val="BodyText"/>
      </w:pPr>
      <w:r>
        <w:rPr>
          <w:b/>
          <w:bCs/>
        </w:rPr>
        <w:t xml:space="preserve">Trade-off Analysis</w:t>
      </w:r>
      <w:r>
        <w:t xml:space="preserve">: [Where mitigation reduced overall accuracy or shifted error distribution, document the trade-off and the rationale for accepting it]</w:t>
      </w:r>
    </w:p>
    <w:p>
      <w:r>
        <w:pict>
          <v:rect style="width:0;height:1.5pt" o:hralign="center" o:hrstd="t" o:hr="t"/>
        </w:pict>
      </w:r>
    </w:p>
    <w:bookmarkEnd w:id="15"/>
    <w:bookmarkStart w:id="16" w:name="section-6-residual-bias"/>
    <w:p>
      <w:pPr>
        <w:pStyle w:val="Heading2"/>
      </w:pPr>
      <w:r>
        <w:t xml:space="preserve">Section 6: Residual Bias</w:t>
      </w:r>
    </w:p>
    <w:p>
      <w:pPr>
        <w:pStyle w:val="FirstParagraph"/>
      </w:pPr>
      <w:r>
        <w:rPr>
          <w:b/>
          <w:bCs/>
        </w:rPr>
        <w:t xml:space="preserve">Statement of Residual Bias</w:t>
      </w:r>
      <w:r>
        <w:t xml:space="preserve">: [Description per attribute]</w:t>
      </w:r>
    </w:p>
    <w:p>
      <w:pPr>
        <w:pStyle w:val="BodyText"/>
      </w:pPr>
      <w:r>
        <w:rPr>
          <w:b/>
          <w:bCs/>
        </w:rPr>
        <w:t xml:space="preserve">Rationale for Acceptance</w:t>
      </w:r>
      <w:r>
        <w:t xml:space="preserve"> </w:t>
      </w:r>
      <w:r>
        <w:t xml:space="preserve">(if accepted): [Three to five sentences, explaining why the residual is consistent with the institution's commitments and why further mitigation would produce worse outcomes]</w:t>
      </w:r>
    </w:p>
    <w:p>
      <w:pPr>
        <w:pStyle w:val="BodyText"/>
      </w:pPr>
      <w:r>
        <w:rPr>
          <w:b/>
          <w:bCs/>
        </w:rPr>
        <w:t xml:space="preserve">Compensating Controls</w:t>
      </w:r>
      <w:r>
        <w:t xml:space="preserve">:</w:t>
      </w:r>
    </w:p>
    <w:p>
      <w:pPr>
        <w:pStyle w:val="Compact"/>
        <w:numPr>
          <w:ilvl w:val="0"/>
          <w:numId w:val="1002"/>
        </w:numPr>
      </w:pPr>
      <w:r>
        <w:t xml:space="preserve">Customer recourse pathway: [Reference]</w:t>
      </w:r>
    </w:p>
    <w:p>
      <w:pPr>
        <w:pStyle w:val="Compact"/>
        <w:numPr>
          <w:ilvl w:val="0"/>
          <w:numId w:val="1002"/>
        </w:numPr>
      </w:pPr>
      <w:r>
        <w:t xml:space="preserve">Human review trigger: [Threshold and process]</w:t>
      </w:r>
    </w:p>
    <w:p>
      <w:pPr>
        <w:pStyle w:val="Compact"/>
        <w:numPr>
          <w:ilvl w:val="0"/>
          <w:numId w:val="1002"/>
        </w:numPr>
      </w:pPr>
      <w:r>
        <w:t xml:space="preserve">Decision override authority: [Role]</w:t>
      </w:r>
    </w:p>
    <w:p>
      <w:pPr>
        <w:pStyle w:val="Compact"/>
        <w:numPr>
          <w:ilvl w:val="0"/>
          <w:numId w:val="1002"/>
        </w:numPr>
      </w:pPr>
      <w:r>
        <w:t xml:space="preserve">Enhanced monitoring: [Reference to Template 16]</w:t>
      </w:r>
    </w:p>
    <w:p>
      <w:r>
        <w:pict>
          <v:rect style="width:0;height:1.5pt" o:hralign="center" o:hrstd="t" o:hr="t"/>
        </w:pict>
      </w:r>
    </w:p>
    <w:bookmarkEnd w:id="16"/>
    <w:bookmarkStart w:id="17" w:name="section-7-recommendation"/>
    <w:p>
      <w:pPr>
        <w:pStyle w:val="Heading2"/>
      </w:pPr>
      <w:r>
        <w:t xml:space="preserve">Section 7: Recommendation</w:t>
      </w:r>
    </w:p>
    <w:p>
      <w:pPr>
        <w:pStyle w:val="FirstParagraph"/>
      </w:pPr>
      <w:r>
        <w:rPr>
          <w:b/>
          <w:bCs/>
        </w:rPr>
        <w:t xml:space="preserve">Recommendation</w:t>
      </w:r>
      <w:r>
        <w:t xml:space="preserve">: [Approve / Approve with Conditions / Reject]</w:t>
      </w:r>
    </w:p>
    <w:p>
      <w:pPr>
        <w:pStyle w:val="BodyText"/>
      </w:pPr>
      <w:r>
        <w:rPr>
          <w:b/>
          <w:bCs/>
        </w:rPr>
        <w:t xml:space="preserve">Rationale</w:t>
      </w:r>
      <w:r>
        <w:t xml:space="preserve">: [Two paragraphs]</w:t>
      </w:r>
    </w:p>
    <w:p>
      <w:pPr>
        <w:pStyle w:val="BodyText"/>
      </w:pPr>
      <w:r>
        <w:rPr>
          <w:b/>
          <w:bCs/>
        </w:rPr>
        <w:t xml:space="preserve">Conditions Attached</w:t>
      </w:r>
      <w:r>
        <w:t xml:space="preserve">:</w:t>
      </w:r>
      <w:r>
        <w:t xml:space="preserve"> </w:t>
      </w:r>
      <w:r>
        <w:t xml:space="preserve">| Condition ID | Description | Due Date | Verification Owner |</w:t>
      </w:r>
      <w:r>
        <w:t xml:space="preserve"> </w:t>
      </w:r>
      <w:r>
        <w:t xml:space="preserve">|---|---|---|---|</w:t>
      </w:r>
      <w:r>
        <w:t xml:space="preserve"> </w:t>
      </w:r>
      <w:r>
        <w:t xml:space="preserve">| C-001 | [Description] | [Date] | [Role] |</w:t>
      </w:r>
    </w:p>
    <w:p>
      <w:pPr>
        <w:pStyle w:val="BodyText"/>
      </w:pPr>
      <w:r>
        <w:rPr>
          <w:b/>
          <w:bCs/>
        </w:rPr>
        <w:t xml:space="preserve">Re-Audit Triggers</w:t>
      </w:r>
      <w:r>
        <w:t xml:space="preserve">:</w:t>
      </w:r>
    </w:p>
    <w:p>
      <w:pPr>
        <w:pStyle w:val="Compact"/>
        <w:numPr>
          <w:ilvl w:val="0"/>
          <w:numId w:val="1003"/>
        </w:numPr>
      </w:pPr>
      <w:r>
        <w:t xml:space="preserve">[Annual cycle baseline]</w:t>
      </w:r>
    </w:p>
    <w:p>
      <w:pPr>
        <w:pStyle w:val="Compact"/>
        <w:numPr>
          <w:ilvl w:val="0"/>
          <w:numId w:val="1003"/>
        </w:numPr>
      </w:pPr>
      <w:r>
        <w:t xml:space="preserve">[Material change in protected-attribute taxonomy]</w:t>
      </w:r>
    </w:p>
    <w:p>
      <w:pPr>
        <w:pStyle w:val="Compact"/>
        <w:numPr>
          <w:ilvl w:val="0"/>
          <w:numId w:val="1003"/>
        </w:numPr>
      </w:pPr>
      <w:r>
        <w:t xml:space="preserve">[Production drift exceeding threshold per Template 16]</w:t>
      </w:r>
    </w:p>
    <w:p>
      <w:pPr>
        <w:pStyle w:val="Compact"/>
        <w:numPr>
          <w:ilvl w:val="0"/>
          <w:numId w:val="1003"/>
        </w:numPr>
      </w:pPr>
      <w:r>
        <w:t xml:space="preserve">[Customer complaint pattern indicating undetected bias]</w:t>
      </w:r>
    </w:p>
    <w:p>
      <w:r>
        <w:pict>
          <v:rect style="width:0;height:1.5pt" o:hralign="center" o:hrstd="t" o:hr="t"/>
        </w:pict>
      </w:r>
    </w:p>
    <w:bookmarkEnd w:id="17"/>
    <w:bookmarkStart w:id="18" w:name="section-8-sign-off"/>
    <w:p>
      <w:pPr>
        <w:pStyle w:val="Heading2"/>
      </w:pPr>
      <w:r>
        <w:t xml:space="preserve">Section 8: Sign-Off</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Role</w:t>
            </w:r>
          </w:p>
        </w:tc>
        <w:tc>
          <w:tcPr/>
          <w:p>
            <w:pPr>
              <w:pStyle w:val="Compact"/>
            </w:pPr>
            <w:r>
              <w:t xml:space="preserve">Name</w:t>
            </w:r>
          </w:p>
        </w:tc>
        <w:tc>
          <w:tcPr/>
          <w:p>
            <w:pPr>
              <w:pStyle w:val="Compact"/>
            </w:pPr>
            <w:r>
              <w:t xml:space="preserve">Signature</w:t>
            </w:r>
          </w:p>
        </w:tc>
        <w:tc>
          <w:tcPr/>
          <w:p>
            <w:pPr>
              <w:pStyle w:val="Compact"/>
            </w:pPr>
            <w:r>
              <w:t xml:space="preserve">Date</w:t>
            </w:r>
          </w:p>
        </w:tc>
      </w:tr>
      <w:tr>
        <w:tc>
          <w:tcPr/>
          <w:p>
            <w:pPr>
              <w:pStyle w:val="Compact"/>
            </w:pPr>
            <w:r>
              <w:t xml:space="preserve">Lead Auditor</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Head of Model Validation</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Ethics Committee Chair (tier-one models)</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Sharia Advisor (Islamic finance institutions)</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Chair, Approving Forum</w:t>
            </w:r>
          </w:p>
        </w:tc>
        <w:tc>
          <w:tcPr/>
          <w:p>
            <w:pPr>
              <w:pStyle w:val="Compact"/>
            </w:pPr>
            <w:r>
              <w:t xml:space="preserve">[Name]</w:t>
            </w:r>
          </w:p>
        </w:tc>
        <w:tc>
          <w:tcPr/>
          <w:p>
            <w:pPr>
              <w:pStyle w:val="Compact"/>
            </w:pPr>
            <w:r>
              <w:t xml:space="preserve">_____________</w:t>
            </w:r>
          </w:p>
        </w:tc>
        <w:tc>
          <w:tcPr/>
          <w:p>
            <w:pPr>
              <w:pStyle w:val="Compact"/>
            </w:pPr>
            <w:r>
              <w:t xml:space="preserve">_________</w:t>
            </w:r>
          </w:p>
        </w:tc>
      </w:tr>
    </w:tbl>
    <w:p>
      <w:r>
        <w:pict>
          <v:rect style="width:0;height:1.5pt" o:hralign="center" o:hrstd="t" o:hr="t"/>
        </w:pict>
      </w:r>
    </w:p>
    <w:bookmarkEnd w:id="18"/>
    <w:bookmarkStart w:id="19" w:name="X41fb46d6c9f9b2bc93f7b04f91f6751ce16ca91"/>
    <w:p>
      <w:pPr>
        <w:pStyle w:val="Heading2"/>
      </w:pPr>
      <w:r>
        <w:t xml:space="preserve">Appendix A: Jurisdictional Protected-Attribute Reference</w:t>
      </w:r>
    </w:p>
    <w:p>
      <w:pPr>
        <w:pStyle w:val="Compact"/>
        <w:numPr>
          <w:ilvl w:val="0"/>
          <w:numId w:val="1004"/>
        </w:numPr>
      </w:pPr>
      <w:r>
        <w:rPr>
          <w:b/>
          <w:bCs/>
        </w:rPr>
        <w:t xml:space="preserve">Saudi PDPL</w:t>
      </w:r>
      <w:r>
        <w:t xml:space="preserve">: protects personal data categories including religious or political opinion, ethnic origin, criminal record, health data. Saudi context recognizes nationality-related protections.</w:t>
      </w:r>
    </w:p>
    <w:p>
      <w:pPr>
        <w:pStyle w:val="Compact"/>
        <w:numPr>
          <w:ilvl w:val="0"/>
          <w:numId w:val="1004"/>
        </w:numPr>
      </w:pPr>
      <w:r>
        <w:rPr>
          <w:b/>
          <w:bCs/>
        </w:rPr>
        <w:t xml:space="preserve">UAE federal PDPL</w:t>
      </w:r>
      <w:r>
        <w:t xml:space="preserve">: protects sensitive personal data including religion, ethnicity, political opinions, biometric data, with sectoral overlays for financial and healthcare contexts.</w:t>
      </w:r>
    </w:p>
    <w:p>
      <w:pPr>
        <w:pStyle w:val="Compact"/>
        <w:numPr>
          <w:ilvl w:val="0"/>
          <w:numId w:val="1004"/>
        </w:numPr>
      </w:pPr>
      <w:r>
        <w:rPr>
          <w:b/>
          <w:bCs/>
        </w:rPr>
        <w:t xml:space="preserve">AAOIFI governance principles</w:t>
      </w:r>
      <w:r>
        <w:t xml:space="preserve">: recognize fairness obligations toward customers in Islamic finance contexts that extend beyond conventional protected-attribute frameworks, including obligations against gharar in customer decisions.</w:t>
      </w:r>
    </w:p>
    <w:p>
      <w:pPr>
        <w:pStyle w:val="Compact"/>
        <w:numPr>
          <w:ilvl w:val="0"/>
          <w:numId w:val="1004"/>
        </w:numPr>
      </w:pPr>
      <w:r>
        <w:rPr>
          <w:b/>
          <w:bCs/>
        </w:rPr>
        <w:t xml:space="preserve">CBUAE sectoral overlay</w:t>
      </w:r>
      <w:r>
        <w:t xml:space="preserve">: recognizes specific customer protections in financial contexts.</w:t>
      </w:r>
    </w:p>
    <w:p>
      <w:pPr>
        <w:pStyle w:val="Compact"/>
        <w:numPr>
          <w:ilvl w:val="0"/>
          <w:numId w:val="1004"/>
        </w:numPr>
      </w:pPr>
      <w:r>
        <w:rPr>
          <w:b/>
          <w:bCs/>
        </w:rPr>
        <w:t xml:space="preserve">SAMA sectoral overlay</w:t>
      </w:r>
      <w:r>
        <w:t xml:space="preserve">: recognizes customer protections in Saudi banking and insurance.</w:t>
      </w:r>
    </w:p>
    <w:p>
      <w:pPr>
        <w:pStyle w:val="FirstParagraph"/>
      </w:pPr>
      <w:r>
        <w:rPr>
          <w:b/>
          <w:bCs/>
        </w:rPr>
        <w:t xml:space="preserve">End of Bias Audit Report Template.</w:t>
      </w:r>
    </w:p>
    <w:p>
      <w:pPr>
        <w:pStyle w:val="BodyText"/>
      </w:pPr>
      <w:r>
        <w:rPr>
          <w:b/>
          <w:bCs/>
        </w:rPr>
        <w:t xml:space="preserve">Usage Notes</w:t>
      </w:r>
      <w:r>
        <w:t xml:space="preserve">: Bias audits that report a single fairness metric are not bias audits. They are bias-metric reports. Report multiple metrics across multiple protected attributes because no single metric captures fairness. The metrics will sometimes disagree. The committee's role is to decide which disagreement the institution accepts, with documented rationale.</w:t>
      </w:r>
    </w:p>
    <w:p>
      <w:r>
        <w:pict>
          <v:rect style="width:0;height:1.5pt" o:hralign="center" o:hrstd="t" o:hr="t"/>
        </w:pict>
      </w:r>
    </w:p>
    <w:bookmarkEnd w:id="19"/>
    <w:bookmarkEnd w:id="20"/>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2026-08-23T00:18:32Z</dcterms:created>
  <dcterms:modified xsi:type="dcterms:W3CDTF">2026-08-23T00:18:32Z</dcterms:modified>
</cp:coreProperties>
</file>

<file path=docProps/custom.xml><?xml version="1.0" encoding="utf-8"?>
<Properties xmlns="http://schemas.openxmlformats.org/officeDocument/2006/custom-properties" xmlns:vt="http://schemas.openxmlformats.org/officeDocument/2006/docPropsVTypes"/>
</file>