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ai-governance-committee-charter"/>
    <w:p>
      <w:pPr>
        <w:pStyle w:val="Heading1"/>
      </w:pPr>
      <w:r>
        <w:t xml:space="preserve">AI Governance Committee Charter</w:t>
      </w:r>
    </w:p>
    <w:p>
      <w:pPr>
        <w:pStyle w:val="FirstParagraph"/>
      </w:pPr>
      <w:r>
        <w:t xml:space="preserve">Template 1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Establish the institutional authority, composition, decision rights, and operating cadence of the body that governs AI as enterprise risk.</w:t>
      </w:r>
    </w:p>
    <w:p>
      <w:pPr>
        <w:pStyle w:val="BodyText"/>
      </w:pPr>
      <w:r>
        <w:rPr>
          <w:b/>
          <w:bCs/>
        </w:rPr>
        <w:t xml:space="preserve">When to use.</w:t>
      </w:r>
      <w:r>
        <w:t xml:space="preserve"> </w:t>
      </w:r>
      <w:r>
        <w:t xml:space="preserve">At committee formation, at every annual charter review, when regulatory change alters scope, when chair or member composition changes.</w:t>
      </w:r>
    </w:p>
    <w:p>
      <w:pPr>
        <w:pStyle w:val="BodyText"/>
      </w:pPr>
      <w:r>
        <w:rPr>
          <w:b/>
          <w:bCs/>
        </w:rPr>
        <w:t xml:space="preserve">Where the book explains it.</w:t>
      </w:r>
      <w:r>
        <w:t xml:space="preserve"> </w:t>
      </w:r>
      <w:r>
        <w:t xml:space="preserve">Operationalizes the Three Lines, Eight Phases, Five Gates, Four Cadences architecture Chapter 10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10" w:name="institution-name"/>
    <w:p>
      <w:pPr>
        <w:pStyle w:val="Heading1"/>
      </w:pPr>
      <w:r>
        <w:t xml:space="preserve">[INSTITUTION NAME]</w:t>
      </w:r>
    </w:p>
    <w:bookmarkEnd w:id="10"/>
    <w:bookmarkStart w:id="49" w:name="ai-governance-committee-charter-1"/>
    <w:p>
      <w:pPr>
        <w:pStyle w:val="Heading1"/>
      </w:pPr>
      <w:r>
        <w:t xml:space="preserve">AI GOVERNANCE COMMITTEE CHARTER</w:t>
      </w:r>
    </w:p>
    <w:p>
      <w:pPr>
        <w:pStyle w:val="FirstParagraph"/>
      </w:pPr>
      <w:r>
        <w:rPr>
          <w:b/>
          <w:bCs/>
        </w:rPr>
        <w:t xml:space="preserve">Document Reference</w:t>
      </w:r>
      <w:r>
        <w:t xml:space="preserve">: AIG-CHR-001</w:t>
      </w:r>
      <w:r>
        <w:t xml:space="preserve"> </w:t>
      </w:r>
      <w:r>
        <w:rPr>
          <w:b/>
          <w:bCs/>
        </w:rPr>
        <w:t xml:space="preserve">Version</w:t>
      </w:r>
      <w:r>
        <w:t xml:space="preserve">: 1.0</w:t>
      </w:r>
      <w:r>
        <w:t xml:space="preserve"> </w:t>
      </w:r>
      <w:r>
        <w:rPr>
          <w:b/>
          <w:bCs/>
        </w:rPr>
        <w:t xml:space="preserve">Effective Date</w:t>
      </w:r>
      <w:r>
        <w:t xml:space="preserve">: [DD/MM/YYYY]</w:t>
      </w:r>
      <w:r>
        <w:t xml:space="preserve"> </w:t>
      </w:r>
      <w:r>
        <w:rPr>
          <w:b/>
          <w:bCs/>
        </w:rPr>
        <w:t xml:space="preserve">Ratified by</w:t>
      </w:r>
      <w:r>
        <w:t xml:space="preserve">: Board Risk Committee</w:t>
      </w:r>
      <w:r>
        <w:t xml:space="preserve"> </w:t>
      </w:r>
      <w:r>
        <w:rPr>
          <w:b/>
          <w:bCs/>
        </w:rPr>
        <w:t xml:space="preserve">Board Resolution Reference</w:t>
      </w:r>
      <w:r>
        <w:t xml:space="preserve">: [BRC-YYYY-NNN]</w:t>
      </w:r>
      <w:r>
        <w:t xml:space="preserve"> </w:t>
      </w:r>
      <w:r>
        <w:rPr>
          <w:b/>
          <w:bCs/>
        </w:rPr>
        <w:t xml:space="preserve">Next Review Date</w:t>
      </w:r>
      <w:r>
        <w:t xml:space="preserve">: [DD/MM/YYYY] (annual)</w:t>
      </w:r>
      <w:r>
        <w:t xml:space="preserve"> </w:t>
      </w:r>
      <w:r>
        <w:rPr>
          <w:b/>
          <w:bCs/>
        </w:rPr>
        <w:t xml:space="preserve">Owner</w:t>
      </w:r>
      <w:r>
        <w:t xml:space="preserve">: Chair, AI Governance Committee</w:t>
      </w:r>
    </w:p>
    <w:p>
      <w:r>
        <w:pict>
          <v:rect style="width:0;height:1.5pt" o:hralign="center" o:hrstd="t" o:hr="t"/>
        </w:pict>
      </w:r>
    </w:p>
    <w:bookmarkStart w:id="16" w:name="article-1-establishment-and-authority"/>
    <w:p>
      <w:pPr>
        <w:pStyle w:val="Heading2"/>
      </w:pPr>
      <w:r>
        <w:t xml:space="preserve">Article 1: Establishment and Authority</w:t>
      </w:r>
    </w:p>
    <w:bookmarkStart w:id="11" w:name="establishment"/>
    <w:p>
      <w:pPr>
        <w:pStyle w:val="Heading3"/>
      </w:pPr>
      <w:r>
        <w:t xml:space="preserve">1.1 Establishment</w:t>
      </w:r>
    </w:p>
    <w:p>
      <w:pPr>
        <w:pStyle w:val="FirstParagraph"/>
      </w:pPr>
      <w:r>
        <w:t xml:space="preserve">The AI Governance Committee (hereafter "the Committee") is established by resolution of the Board Risk Committee of [Institution Name] on [Date] under Board Resolution [Reference Number] to discharge the institution's responsibility for the governance of all artificial intelligence and machine learning systems deployed in, developed by, or procured for the institution.</w:t>
      </w:r>
    </w:p>
    <w:bookmarkEnd w:id="11"/>
    <w:bookmarkStart w:id="12" w:name="source-of-authority"/>
    <w:p>
      <w:pPr>
        <w:pStyle w:val="Heading3"/>
      </w:pPr>
      <w:r>
        <w:t xml:space="preserve">1.2 Source of Authority</w:t>
      </w:r>
    </w:p>
    <w:p>
      <w:pPr>
        <w:pStyle w:val="FirstParagraph"/>
      </w:pPr>
      <w:r>
        <w:t xml:space="preserve">The Committee operates under authority delegated by the Board Risk Committee, which holds the underlying fiduciary responsibility for the institution's enterprise risk position. The Committee's authority is the operating expression of the Board's risk appetite for AI-related enterprise risk.</w:t>
      </w:r>
    </w:p>
    <w:bookmarkEnd w:id="12"/>
    <w:bookmarkStart w:id="13" w:name="reporting-line"/>
    <w:p>
      <w:pPr>
        <w:pStyle w:val="Heading3"/>
      </w:pPr>
      <w:r>
        <w:t xml:space="preserve">1.3 Reporting Line</w:t>
      </w:r>
    </w:p>
    <w:p>
      <w:pPr>
        <w:pStyle w:val="FirstParagraph"/>
      </w:pPr>
      <w:r>
        <w:t xml:space="preserve">The Committee reports to the Board Risk Committee through quarterly written reports and an annual presentation. The Committee Chair maintains a direct reporting line to the Board Risk Committee Chair for matters requiring escalation between scheduled reports.</w:t>
      </w:r>
    </w:p>
    <w:bookmarkEnd w:id="13"/>
    <w:bookmarkStart w:id="14" w:name="scope-of-authority"/>
    <w:p>
      <w:pPr>
        <w:pStyle w:val="Heading3"/>
      </w:pPr>
      <w:r>
        <w:t xml:space="preserve">1.4 Scope of Authority</w:t>
      </w:r>
    </w:p>
    <w:p>
      <w:pPr>
        <w:pStyle w:val="FirstParagraph"/>
      </w:pPr>
      <w:r>
        <w:t xml:space="preserve">The Committee holds authority over:</w:t>
      </w:r>
    </w:p>
    <w:p>
      <w:pPr>
        <w:pStyle w:val="Compact"/>
        <w:numPr>
          <w:ilvl w:val="0"/>
          <w:numId w:val="1001"/>
        </w:numPr>
      </w:pPr>
      <w:r>
        <w:t xml:space="preserve">All AI and machine learning models deployed in production across the institution</w:t>
      </w:r>
    </w:p>
    <w:p>
      <w:pPr>
        <w:pStyle w:val="Compact"/>
        <w:numPr>
          <w:ilvl w:val="0"/>
          <w:numId w:val="1001"/>
        </w:numPr>
      </w:pPr>
      <w:r>
        <w:t xml:space="preserve">All AI and machine learning models in development with planned production deployment</w:t>
      </w:r>
    </w:p>
    <w:p>
      <w:pPr>
        <w:pStyle w:val="Compact"/>
        <w:numPr>
          <w:ilvl w:val="0"/>
          <w:numId w:val="1001"/>
        </w:numPr>
      </w:pPr>
      <w:r>
        <w:t xml:space="preserve">All AI vendor relationships at tier-one and tier-two classification</w:t>
      </w:r>
    </w:p>
    <w:p>
      <w:pPr>
        <w:pStyle w:val="Compact"/>
        <w:numPr>
          <w:ilvl w:val="0"/>
          <w:numId w:val="1001"/>
        </w:numPr>
      </w:pPr>
      <w:r>
        <w:t xml:space="preserve">All AI-related policies and standards across the institution</w:t>
      </w:r>
    </w:p>
    <w:p>
      <w:pPr>
        <w:pStyle w:val="Compact"/>
        <w:numPr>
          <w:ilvl w:val="0"/>
          <w:numId w:val="1001"/>
        </w:numPr>
      </w:pPr>
      <w:r>
        <w:t xml:space="preserve">All AI-related incident classifications at severity-one and severity-two</w:t>
      </w:r>
    </w:p>
    <w:p>
      <w:pPr>
        <w:pStyle w:val="Compact"/>
        <w:numPr>
          <w:ilvl w:val="0"/>
          <w:numId w:val="1001"/>
        </w:numPr>
      </w:pPr>
      <w:r>
        <w:t xml:space="preserve">All cross-jurisdictional AI deployments</w:t>
      </w:r>
    </w:p>
    <w:bookmarkEnd w:id="14"/>
    <w:bookmarkStart w:id="15" w:name="limits-of-authority"/>
    <w:p>
      <w:pPr>
        <w:pStyle w:val="Heading3"/>
      </w:pPr>
      <w:r>
        <w:t xml:space="preserve">1.5 Limits of Authority</w:t>
      </w:r>
    </w:p>
    <w:p>
      <w:pPr>
        <w:pStyle w:val="FirstParagraph"/>
      </w:pPr>
      <w:r>
        <w:t xml:space="preserve">The Committee does not hold authority over:</w:t>
      </w:r>
    </w:p>
    <w:p>
      <w:pPr>
        <w:pStyle w:val="Compact"/>
        <w:numPr>
          <w:ilvl w:val="0"/>
          <w:numId w:val="1002"/>
        </w:numPr>
      </w:pPr>
      <w:r>
        <w:t xml:space="preserve">Board-reserved decisions on AI strategic investment exceeding [threshold amount]</w:t>
      </w:r>
    </w:p>
    <w:p>
      <w:pPr>
        <w:pStyle w:val="Compact"/>
        <w:numPr>
          <w:ilvl w:val="0"/>
          <w:numId w:val="1002"/>
        </w:numPr>
      </w:pPr>
      <w:r>
        <w:t xml:space="preserve">Board-reserved decisions on entry into prohibited use case categories</w:t>
      </w:r>
    </w:p>
    <w:p>
      <w:pPr>
        <w:pStyle w:val="Compact"/>
        <w:numPr>
          <w:ilvl w:val="0"/>
          <w:numId w:val="1002"/>
        </w:numPr>
      </w:pPr>
      <w:r>
        <w:t xml:space="preserve">Decisions reserved to the Audit Committee on internal audit findings</w:t>
      </w:r>
    </w:p>
    <w:p>
      <w:pPr>
        <w:pStyle w:val="Compact"/>
        <w:numPr>
          <w:ilvl w:val="0"/>
          <w:numId w:val="1002"/>
        </w:numPr>
      </w:pPr>
      <w:r>
        <w:t xml:space="preserve">Decisions reserved to the Sharia Supervisory Board on Sharia compliance interpretation (Islamic finance institutions)</w:t>
      </w:r>
    </w:p>
    <w:p>
      <w:pPr>
        <w:pStyle w:val="FirstParagraph"/>
      </w:pPr>
      <w:r>
        <w:t xml:space="preserve">Matters touching the limits above are escalated to the Board Risk Committee with a Committee recommendation.</w:t>
      </w:r>
    </w:p>
    <w:p>
      <w:r>
        <w:pict>
          <v:rect style="width:0;height:1.5pt" o:hralign="center" o:hrstd="t" o:hr="t"/>
        </w:pict>
      </w:r>
    </w:p>
    <w:bookmarkEnd w:id="15"/>
    <w:bookmarkEnd w:id="16"/>
    <w:bookmarkStart w:id="23" w:name="article-2-composition"/>
    <w:p>
      <w:pPr>
        <w:pStyle w:val="Heading2"/>
      </w:pPr>
      <w:r>
        <w:t xml:space="preserve">Article 2: Composition</w:t>
      </w:r>
    </w:p>
    <w:bookmarkStart w:id="17" w:name="chair"/>
    <w:p>
      <w:pPr>
        <w:pStyle w:val="Heading3"/>
      </w:pPr>
      <w:r>
        <w:t xml:space="preserve">2.1 Chair</w:t>
      </w:r>
    </w:p>
    <w:p>
      <w:pPr>
        <w:pStyle w:val="FirstParagraph"/>
      </w:pPr>
      <w:r>
        <w:t xml:space="preserve">The Committee is chaired by the Chief Risk Officer of the institution. The Chair serves at the pleasure of the Board Risk Committee for a renewable two-year term.</w:t>
      </w:r>
    </w:p>
    <w:bookmarkEnd w:id="17"/>
    <w:bookmarkStart w:id="18" w:name="voting-members"/>
    <w:p>
      <w:pPr>
        <w:pStyle w:val="Heading3"/>
      </w:pPr>
      <w:r>
        <w:t xml:space="preserve">2.2 Voting Members</w:t>
      </w:r>
    </w:p>
    <w:p>
      <w:pPr>
        <w:pStyle w:val="FirstParagraph"/>
      </w:pPr>
      <w:r>
        <w:t xml:space="preserve">The Committee comprises seven voting members holding the following roles:</w:t>
      </w:r>
    </w:p>
    <w:p>
      <w:pPr>
        <w:pStyle w:val="Compact"/>
        <w:numPr>
          <w:ilvl w:val="0"/>
          <w:numId w:val="1003"/>
        </w:numPr>
      </w:pPr>
      <w:r>
        <w:t xml:space="preserve">Chief Risk Officer (Chair)</w:t>
      </w:r>
    </w:p>
    <w:p>
      <w:pPr>
        <w:pStyle w:val="Compact"/>
        <w:numPr>
          <w:ilvl w:val="0"/>
          <w:numId w:val="1003"/>
        </w:numPr>
      </w:pPr>
      <w:r>
        <w:t xml:space="preserve">Chief Compliance Officer</w:t>
      </w:r>
    </w:p>
    <w:p>
      <w:pPr>
        <w:pStyle w:val="Compact"/>
        <w:numPr>
          <w:ilvl w:val="0"/>
          <w:numId w:val="1003"/>
        </w:numPr>
      </w:pPr>
      <w:r>
        <w:t xml:space="preserve">Chief Information Security Officer</w:t>
      </w:r>
    </w:p>
    <w:p>
      <w:pPr>
        <w:pStyle w:val="Compact"/>
        <w:numPr>
          <w:ilvl w:val="0"/>
          <w:numId w:val="1003"/>
        </w:numPr>
      </w:pPr>
      <w:r>
        <w:t xml:space="preserve">Chief Data Officer</w:t>
      </w:r>
    </w:p>
    <w:p>
      <w:pPr>
        <w:pStyle w:val="Compact"/>
        <w:numPr>
          <w:ilvl w:val="0"/>
          <w:numId w:val="1003"/>
        </w:numPr>
      </w:pPr>
      <w:r>
        <w:t xml:space="preserve">Chief Technology Officer</w:t>
      </w:r>
    </w:p>
    <w:p>
      <w:pPr>
        <w:pStyle w:val="Compact"/>
        <w:numPr>
          <w:ilvl w:val="0"/>
          <w:numId w:val="1003"/>
        </w:numPr>
      </w:pPr>
      <w:r>
        <w:t xml:space="preserve">Head of AI Governance Office</w:t>
      </w:r>
    </w:p>
    <w:p>
      <w:pPr>
        <w:pStyle w:val="Compact"/>
        <w:numPr>
          <w:ilvl w:val="0"/>
          <w:numId w:val="1003"/>
        </w:numPr>
      </w:pPr>
      <w:r>
        <w:t xml:space="preserve">Head of Internal Audit (observer for independence; voting only on matters where independence is not compromised)</w:t>
      </w:r>
    </w:p>
    <w:bookmarkEnd w:id="18"/>
    <w:bookmarkStart w:id="19" w:name="non-voting-standing-attendees"/>
    <w:p>
      <w:pPr>
        <w:pStyle w:val="Heading3"/>
      </w:pPr>
      <w:r>
        <w:t xml:space="preserve">2.3 Non-Voting Standing Attendees</w:t>
      </w:r>
    </w:p>
    <w:p>
      <w:pPr>
        <w:pStyle w:val="Compact"/>
        <w:numPr>
          <w:ilvl w:val="0"/>
          <w:numId w:val="1004"/>
        </w:numPr>
      </w:pPr>
      <w:r>
        <w:t xml:space="preserve">General Counsel (legal advisor)</w:t>
      </w:r>
    </w:p>
    <w:p>
      <w:pPr>
        <w:pStyle w:val="Compact"/>
        <w:numPr>
          <w:ilvl w:val="0"/>
          <w:numId w:val="1004"/>
        </w:numPr>
      </w:pPr>
      <w:r>
        <w:t xml:space="preserve">Sharia Advisor (Islamic finance institutions)</w:t>
      </w:r>
    </w:p>
    <w:p>
      <w:pPr>
        <w:pStyle w:val="Compact"/>
        <w:numPr>
          <w:ilvl w:val="0"/>
          <w:numId w:val="1004"/>
        </w:numPr>
      </w:pPr>
      <w:r>
        <w:t xml:space="preserve">AI Ethics Committee Chair (when ethical matters are on the agenda)</w:t>
      </w:r>
    </w:p>
    <w:p>
      <w:pPr>
        <w:pStyle w:val="Compact"/>
        <w:numPr>
          <w:ilvl w:val="0"/>
          <w:numId w:val="1004"/>
        </w:numPr>
      </w:pPr>
      <w:r>
        <w:t xml:space="preserve">Secretary to the Committee (records and administration)</w:t>
      </w:r>
    </w:p>
    <w:bookmarkEnd w:id="19"/>
    <w:bookmarkStart w:id="20" w:name="quorum"/>
    <w:p>
      <w:pPr>
        <w:pStyle w:val="Heading3"/>
      </w:pPr>
      <w:r>
        <w:t xml:space="preserve">2.4 Quorum</w:t>
      </w:r>
    </w:p>
    <w:p>
      <w:pPr>
        <w:pStyle w:val="FirstParagraph"/>
      </w:pPr>
      <w:r>
        <w:t xml:space="preserve">A quorum is five voting members including the Chair. Decisions requiring unanimous voting member approval (see Article 3.2) require all seven voting members present.</w:t>
      </w:r>
    </w:p>
    <w:bookmarkEnd w:id="20"/>
    <w:bookmarkStart w:id="21" w:name="member-tenure"/>
    <w:p>
      <w:pPr>
        <w:pStyle w:val="Heading3"/>
      </w:pPr>
      <w:r>
        <w:t xml:space="preserve">2.5 Member Tenure</w:t>
      </w:r>
    </w:p>
    <w:p>
      <w:pPr>
        <w:pStyle w:val="FirstParagraph"/>
      </w:pPr>
      <w:r>
        <w:t xml:space="preserve">Voting members serve in their committee capacity for the duration of their executive role. The Committee composition is reviewed annually by the Board Risk Committee.</w:t>
      </w:r>
    </w:p>
    <w:bookmarkEnd w:id="21"/>
    <w:bookmarkStart w:id="22" w:name="conflicts-of-interest"/>
    <w:p>
      <w:pPr>
        <w:pStyle w:val="Heading3"/>
      </w:pPr>
      <w:r>
        <w:t xml:space="preserve">2.6 Conflicts of Interest</w:t>
      </w:r>
    </w:p>
    <w:p>
      <w:pPr>
        <w:pStyle w:val="FirstParagraph"/>
      </w:pPr>
      <w:r>
        <w:t xml:space="preserve">Each member declares conflicts at the start of every meeting. A member with a declared conflict on a specific matter recuses from voting and may be required to leave the room during deliberation at the Chair's discretion.</w:t>
      </w:r>
    </w:p>
    <w:p>
      <w:r>
        <w:pict>
          <v:rect style="width:0;height:1.5pt" o:hralign="center" o:hrstd="t" o:hr="t"/>
        </w:pict>
      </w:r>
    </w:p>
    <w:bookmarkEnd w:id="22"/>
    <w:bookmarkEnd w:id="23"/>
    <w:bookmarkStart w:id="28" w:name="article-3-decision-rights"/>
    <w:p>
      <w:pPr>
        <w:pStyle w:val="Heading2"/>
      </w:pPr>
      <w:r>
        <w:t xml:space="preserve">Article 3: Decision Rights</w:t>
      </w:r>
    </w:p>
    <w:bookmarkStart w:id="24" w:name="decisions-the-committee-makes"/>
    <w:p>
      <w:pPr>
        <w:pStyle w:val="Heading3"/>
      </w:pPr>
      <w:r>
        <w:t xml:space="preserve">3.1 Decisions the Committee Makes</w:t>
      </w:r>
    </w:p>
    <w:p>
      <w:pPr>
        <w:pStyle w:val="FirstParagraph"/>
      </w:pPr>
      <w:r>
        <w:t xml:space="preserve">The Committee holds final authority for:</w:t>
      </w:r>
    </w:p>
    <w:p>
      <w:pPr>
        <w:pStyle w:val="Compact"/>
        <w:numPr>
          <w:ilvl w:val="0"/>
          <w:numId w:val="1005"/>
        </w:numPr>
      </w:pPr>
      <w:r>
        <w:t xml:space="preserve">Production approval of all tier-one and tier-two AI models (Gate 4 decisions)</w:t>
      </w:r>
    </w:p>
    <w:p>
      <w:pPr>
        <w:pStyle w:val="Compact"/>
        <w:numPr>
          <w:ilvl w:val="0"/>
          <w:numId w:val="1005"/>
        </w:numPr>
      </w:pPr>
      <w:r>
        <w:t xml:space="preserve">Ratification of all AI-related policies and standards</w:t>
      </w:r>
    </w:p>
    <w:p>
      <w:pPr>
        <w:pStyle w:val="Compact"/>
        <w:numPr>
          <w:ilvl w:val="0"/>
          <w:numId w:val="1005"/>
        </w:numPr>
      </w:pPr>
      <w:r>
        <w:t xml:space="preserve">Classification override for severity-one incidents where initial classification is disputed</w:t>
      </w:r>
    </w:p>
    <w:p>
      <w:pPr>
        <w:pStyle w:val="Compact"/>
        <w:numPr>
          <w:ilvl w:val="0"/>
          <w:numId w:val="1005"/>
        </w:numPr>
      </w:pPr>
      <w:r>
        <w:t xml:space="preserve">Approval of AI vendor selections at tier-one and tier-two classification</w:t>
      </w:r>
    </w:p>
    <w:p>
      <w:pPr>
        <w:pStyle w:val="Compact"/>
        <w:numPr>
          <w:ilvl w:val="0"/>
          <w:numId w:val="1005"/>
        </w:numPr>
      </w:pPr>
      <w:r>
        <w:t xml:space="preserve">Approval of changes to the prohibited use case registry on advice from the AI Ethics Committee</w:t>
      </w:r>
    </w:p>
    <w:p>
      <w:pPr>
        <w:pStyle w:val="Compact"/>
        <w:numPr>
          <w:ilvl w:val="0"/>
          <w:numId w:val="1005"/>
        </w:numPr>
      </w:pPr>
      <w:r>
        <w:t xml:space="preserve">Approval of the institution's annual AI governance plan</w:t>
      </w:r>
    </w:p>
    <w:p>
      <w:pPr>
        <w:pStyle w:val="Compact"/>
        <w:numPr>
          <w:ilvl w:val="0"/>
          <w:numId w:val="1005"/>
        </w:numPr>
      </w:pPr>
      <w:r>
        <w:t xml:space="preserve">Approval of conditions attached to conditional model approvals and verification of condition satisfaction</w:t>
      </w:r>
    </w:p>
    <w:bookmarkEnd w:id="24"/>
    <w:bookmarkStart w:id="25" w:name="X15aa69a5772eacf7beb0cb12dfec02034b91e4c"/>
    <w:p>
      <w:pPr>
        <w:pStyle w:val="Heading3"/>
      </w:pPr>
      <w:r>
        <w:t xml:space="preserve">3.2 Decisions Requiring Unanimous Voting Member Approval</w:t>
      </w:r>
    </w:p>
    <w:p>
      <w:pPr>
        <w:pStyle w:val="Compact"/>
        <w:numPr>
          <w:ilvl w:val="0"/>
          <w:numId w:val="1006"/>
        </w:numPr>
      </w:pPr>
      <w:r>
        <w:t xml:space="preserve">Production approval of tier-one AI models</w:t>
      </w:r>
    </w:p>
    <w:p>
      <w:pPr>
        <w:pStyle w:val="Compact"/>
        <w:numPr>
          <w:ilvl w:val="0"/>
          <w:numId w:val="1006"/>
        </w:numPr>
      </w:pPr>
      <w:r>
        <w:t xml:space="preserve">Approval of any AI deployment in a category previously on the prohibited use case registry</w:t>
      </w:r>
    </w:p>
    <w:p>
      <w:pPr>
        <w:pStyle w:val="Compact"/>
        <w:numPr>
          <w:ilvl w:val="0"/>
          <w:numId w:val="1006"/>
        </w:numPr>
      </w:pPr>
      <w:r>
        <w:t xml:space="preserve">Override of a Model Validation Forum recommendation to reject</w:t>
      </w:r>
    </w:p>
    <w:bookmarkEnd w:id="25"/>
    <w:bookmarkStart w:id="26" w:name="X00952b9a0eeaf50b9526fba80346cd13632ff77"/>
    <w:p>
      <w:pPr>
        <w:pStyle w:val="Heading3"/>
      </w:pPr>
      <w:r>
        <w:t xml:space="preserve">3.3 Decisions the Committee Recommends to the Board Risk Committee</w:t>
      </w:r>
    </w:p>
    <w:p>
      <w:pPr>
        <w:pStyle w:val="FirstParagraph"/>
      </w:pPr>
      <w:r>
        <w:t xml:space="preserve">The Committee recommends, with rationale:</w:t>
      </w:r>
    </w:p>
    <w:p>
      <w:pPr>
        <w:pStyle w:val="Compact"/>
        <w:numPr>
          <w:ilvl w:val="0"/>
          <w:numId w:val="1007"/>
        </w:numPr>
      </w:pPr>
      <w:r>
        <w:t xml:space="preserve">AI strategic investment exceeding [threshold amount]</w:t>
      </w:r>
    </w:p>
    <w:p>
      <w:pPr>
        <w:pStyle w:val="Compact"/>
        <w:numPr>
          <w:ilvl w:val="0"/>
          <w:numId w:val="1007"/>
        </w:numPr>
      </w:pPr>
      <w:r>
        <w:t xml:space="preserve">Entry into new AI-enabled product categories with regulatory implications</w:t>
      </w:r>
    </w:p>
    <w:p>
      <w:pPr>
        <w:pStyle w:val="Compact"/>
        <w:numPr>
          <w:ilvl w:val="0"/>
          <w:numId w:val="1007"/>
        </w:numPr>
      </w:pPr>
      <w:r>
        <w:t xml:space="preserve">Material changes to the institution's AI risk appetite</w:t>
      </w:r>
    </w:p>
    <w:p>
      <w:pPr>
        <w:pStyle w:val="Compact"/>
        <w:numPr>
          <w:ilvl w:val="0"/>
          <w:numId w:val="1007"/>
        </w:numPr>
      </w:pPr>
      <w:r>
        <w:t xml:space="preserve">Annual AI governance budget</w:t>
      </w:r>
    </w:p>
    <w:p>
      <w:pPr>
        <w:pStyle w:val="Compact"/>
        <w:numPr>
          <w:ilvl w:val="0"/>
          <w:numId w:val="1007"/>
        </w:numPr>
      </w:pPr>
      <w:r>
        <w:t xml:space="preserve">AI-related regulatory engagement strategy</w:t>
      </w:r>
    </w:p>
    <w:bookmarkEnd w:id="26"/>
    <w:bookmarkStart w:id="27" w:name="X8fcaff0ee27bbfac09adf3bd42928d650245d40"/>
    <w:p>
      <w:pPr>
        <w:pStyle w:val="Heading3"/>
      </w:pPr>
      <w:r>
        <w:t xml:space="preserve">3.4 Decisions Delegated to Subordinate Forums</w:t>
      </w:r>
    </w:p>
    <w:p>
      <w:pPr>
        <w:pStyle w:val="FirstParagraph"/>
      </w:pPr>
      <w:r>
        <w:t xml:space="preserve">The Committee delegates the following to the Model Validation Forum, with reporting back at each Committee meeting:</w:t>
      </w:r>
    </w:p>
    <w:p>
      <w:pPr>
        <w:pStyle w:val="Compact"/>
        <w:numPr>
          <w:ilvl w:val="0"/>
          <w:numId w:val="1008"/>
        </w:numPr>
      </w:pPr>
      <w:r>
        <w:t xml:space="preserve">Gate 1 model use-case approval (tier-two and tier-three)</w:t>
      </w:r>
    </w:p>
    <w:p>
      <w:pPr>
        <w:pStyle w:val="Compact"/>
        <w:numPr>
          <w:ilvl w:val="0"/>
          <w:numId w:val="1008"/>
        </w:numPr>
      </w:pPr>
      <w:r>
        <w:t xml:space="preserve">Gate 2 model data sourcing approval (tier-two and tier-three)</w:t>
      </w:r>
    </w:p>
    <w:p>
      <w:pPr>
        <w:pStyle w:val="Compact"/>
        <w:numPr>
          <w:ilvl w:val="0"/>
          <w:numId w:val="1008"/>
        </w:numPr>
      </w:pPr>
      <w:r>
        <w:t xml:space="preserve">Gate 3 model methodology validation (all tiers, with tier-one decisions ratified by the Committee)</w:t>
      </w:r>
    </w:p>
    <w:p>
      <w:pPr>
        <w:pStyle w:val="Compact"/>
        <w:numPr>
          <w:ilvl w:val="0"/>
          <w:numId w:val="1008"/>
        </w:numPr>
      </w:pPr>
      <w:r>
        <w:t xml:space="preserve">Tier classification of new models</w:t>
      </w:r>
    </w:p>
    <w:p>
      <w:r>
        <w:pict>
          <v:rect style="width:0;height:1.5pt" o:hralign="center" o:hrstd="t" o:hr="t"/>
        </w:pict>
      </w:r>
    </w:p>
    <w:bookmarkEnd w:id="27"/>
    <w:bookmarkEnd w:id="28"/>
    <w:bookmarkStart w:id="33" w:name="article-4-operating-cadence"/>
    <w:p>
      <w:pPr>
        <w:pStyle w:val="Heading2"/>
      </w:pPr>
      <w:r>
        <w:t xml:space="preserve">Article 4: Operating Cadence</w:t>
      </w:r>
    </w:p>
    <w:bookmarkStart w:id="29" w:name="standing-meetings"/>
    <w:p>
      <w:pPr>
        <w:pStyle w:val="Heading3"/>
      </w:pPr>
      <w:r>
        <w:t xml:space="preserve">4.1 Standing Meetings</w:t>
      </w:r>
    </w:p>
    <w:p>
      <w:pPr>
        <w:pStyle w:val="FirstParagraph"/>
      </w:pPr>
      <w:r>
        <w:t xml:space="preserve">The Committee meets monthly on the [second Tuesday] of each month at [time] for a duration not to exceed three hours.</w:t>
      </w:r>
    </w:p>
    <w:bookmarkEnd w:id="29"/>
    <w:bookmarkStart w:id="30" w:name="annual-strategic-review"/>
    <w:p>
      <w:pPr>
        <w:pStyle w:val="Heading3"/>
      </w:pPr>
      <w:r>
        <w:t xml:space="preserve">4.2 Annual Strategic Review</w:t>
      </w:r>
    </w:p>
    <w:p>
      <w:pPr>
        <w:pStyle w:val="FirstParagraph"/>
      </w:pPr>
      <w:r>
        <w:t xml:space="preserve">The Committee convenes annually for a two-day strategic review in [month]. The Board Risk Committee Chair attends Day Two.</w:t>
      </w:r>
    </w:p>
    <w:bookmarkEnd w:id="30"/>
    <w:bookmarkStart w:id="31" w:name="extraordinary-meetings"/>
    <w:p>
      <w:pPr>
        <w:pStyle w:val="Heading3"/>
      </w:pPr>
      <w:r>
        <w:t xml:space="preserve">4.3 Extraordinary Meetings</w:t>
      </w:r>
    </w:p>
    <w:p>
      <w:pPr>
        <w:pStyle w:val="FirstParagraph"/>
      </w:pPr>
      <w:r>
        <w:t xml:space="preserve">The Chair may convene an extraordinary meeting on:</w:t>
      </w:r>
    </w:p>
    <w:p>
      <w:pPr>
        <w:pStyle w:val="Compact"/>
        <w:numPr>
          <w:ilvl w:val="0"/>
          <w:numId w:val="1009"/>
        </w:numPr>
      </w:pPr>
      <w:r>
        <w:t xml:space="preserve">Any severity-one incident requiring immediate Committee action</w:t>
      </w:r>
    </w:p>
    <w:p>
      <w:pPr>
        <w:pStyle w:val="Compact"/>
        <w:numPr>
          <w:ilvl w:val="0"/>
          <w:numId w:val="1009"/>
        </w:numPr>
      </w:pPr>
      <w:r>
        <w:t xml:space="preserve">Any regulatory enforcement notice</w:t>
      </w:r>
    </w:p>
    <w:p>
      <w:pPr>
        <w:pStyle w:val="Compact"/>
        <w:numPr>
          <w:ilvl w:val="0"/>
          <w:numId w:val="1009"/>
        </w:numPr>
      </w:pPr>
      <w:r>
        <w:t xml:space="preserve">Any urgent vendor termination requirement</w:t>
      </w:r>
    </w:p>
    <w:p>
      <w:pPr>
        <w:pStyle w:val="Compact"/>
        <w:numPr>
          <w:ilvl w:val="0"/>
          <w:numId w:val="1009"/>
        </w:numPr>
      </w:pPr>
      <w:r>
        <w:t xml:space="preserve">Any other matter the Chair determines requires Committee action before the next scheduled meeting</w:t>
      </w:r>
    </w:p>
    <w:p>
      <w:pPr>
        <w:pStyle w:val="FirstParagraph"/>
      </w:pPr>
      <w:r>
        <w:t xml:space="preserve">Extraordinary meetings may be convened with twenty-four hours notice. Quorum requirements remain in force.</w:t>
      </w:r>
    </w:p>
    <w:bookmarkEnd w:id="31"/>
    <w:bookmarkStart w:id="32" w:name="reporting-cycle"/>
    <w:p>
      <w:pPr>
        <w:pStyle w:val="Heading3"/>
      </w:pPr>
      <w:r>
        <w:t xml:space="preserve">4.4 Reporting Cycle</w:t>
      </w:r>
    </w:p>
    <w:p>
      <w:pPr>
        <w:pStyle w:val="Compact"/>
        <w:numPr>
          <w:ilvl w:val="0"/>
          <w:numId w:val="1010"/>
        </w:numPr>
      </w:pPr>
      <w:r>
        <w:t xml:space="preserve">Quarterly written report to the Board Risk Committee, submitted no later than [fifteen days] after quarter-end</w:t>
      </w:r>
    </w:p>
    <w:p>
      <w:pPr>
        <w:pStyle w:val="Compact"/>
        <w:numPr>
          <w:ilvl w:val="0"/>
          <w:numId w:val="1010"/>
        </w:numPr>
      </w:pPr>
      <w:r>
        <w:t xml:space="preserve">Annual presentation to the Board Risk Committee within [thirty days] of the strategic review</w:t>
      </w:r>
    </w:p>
    <w:p>
      <w:pPr>
        <w:pStyle w:val="Compact"/>
        <w:numPr>
          <w:ilvl w:val="0"/>
          <w:numId w:val="1010"/>
        </w:numPr>
      </w:pPr>
      <w:r>
        <w:t xml:space="preserve">Ad hoc escalation to the Board Risk Committee Chair as required</w:t>
      </w:r>
    </w:p>
    <w:p>
      <w:r>
        <w:pict>
          <v:rect style="width:0;height:1.5pt" o:hralign="center" o:hrstd="t" o:hr="t"/>
        </w:pict>
      </w:r>
    </w:p>
    <w:bookmarkEnd w:id="32"/>
    <w:bookmarkEnd w:id="33"/>
    <w:bookmarkStart w:id="37" w:name="article-5-agenda-architecture"/>
    <w:p>
      <w:pPr>
        <w:pStyle w:val="Heading2"/>
      </w:pPr>
      <w:r>
        <w:t xml:space="preserve">Article 5: Agenda Architecture</w:t>
      </w:r>
    </w:p>
    <w:bookmarkStart w:id="34" w:name="standing-agenda-items-every-meeting"/>
    <w:p>
      <w:pPr>
        <w:pStyle w:val="Heading3"/>
      </w:pPr>
      <w:r>
        <w:t xml:space="preserve">5.1 Standing Agenda Items (Every Meeting)</w:t>
      </w:r>
    </w:p>
    <w:p>
      <w:pPr>
        <w:pStyle w:val="Compact"/>
        <w:numPr>
          <w:ilvl w:val="0"/>
          <w:numId w:val="1011"/>
        </w:numPr>
      </w:pPr>
      <w:r>
        <w:t xml:space="preserve">Opening and conflicts declaration (10 minutes)</w:t>
      </w:r>
    </w:p>
    <w:p>
      <w:pPr>
        <w:pStyle w:val="Compact"/>
        <w:numPr>
          <w:ilvl w:val="0"/>
          <w:numId w:val="1011"/>
        </w:numPr>
      </w:pPr>
      <w:r>
        <w:t xml:space="preserve">Minutes ratification and action item review (10 minutes)</w:t>
      </w:r>
    </w:p>
    <w:p>
      <w:pPr>
        <w:pStyle w:val="Compact"/>
        <w:numPr>
          <w:ilvl w:val="0"/>
          <w:numId w:val="1011"/>
        </w:numPr>
      </w:pPr>
      <w:r>
        <w:t xml:space="preserve">Model inventory delta since last meeting (10 minutes)</w:t>
      </w:r>
    </w:p>
    <w:p>
      <w:pPr>
        <w:pStyle w:val="Compact"/>
        <w:numPr>
          <w:ilvl w:val="0"/>
          <w:numId w:val="1011"/>
        </w:numPr>
      </w:pPr>
      <w:r>
        <w:t xml:space="preserve">Incident log review (15 minutes)</w:t>
      </w:r>
    </w:p>
    <w:p>
      <w:pPr>
        <w:pStyle w:val="Compact"/>
        <w:numPr>
          <w:ilvl w:val="0"/>
          <w:numId w:val="1011"/>
        </w:numPr>
      </w:pPr>
      <w:r>
        <w:t xml:space="preserve">Regulatory horizon scan (10 minutes)</w:t>
      </w:r>
    </w:p>
    <w:p>
      <w:pPr>
        <w:pStyle w:val="Compact"/>
        <w:numPr>
          <w:ilvl w:val="0"/>
          <w:numId w:val="1011"/>
        </w:numPr>
      </w:pPr>
      <w:r>
        <w:t xml:space="preserve">KRI dashboard review (15 minutes)</w:t>
      </w:r>
    </w:p>
    <w:p>
      <w:pPr>
        <w:pStyle w:val="Compact"/>
        <w:numPr>
          <w:ilvl w:val="0"/>
          <w:numId w:val="1011"/>
        </w:numPr>
      </w:pPr>
      <w:r>
        <w:t xml:space="preserve">Decision items (60-90 minutes)</w:t>
      </w:r>
    </w:p>
    <w:p>
      <w:pPr>
        <w:pStyle w:val="Compact"/>
        <w:numPr>
          <w:ilvl w:val="0"/>
          <w:numId w:val="1011"/>
        </w:numPr>
      </w:pPr>
      <w:r>
        <w:t xml:space="preserve">Strategic item (rotating, 30 minutes)</w:t>
      </w:r>
    </w:p>
    <w:p>
      <w:pPr>
        <w:pStyle w:val="Compact"/>
        <w:numPr>
          <w:ilvl w:val="0"/>
          <w:numId w:val="1011"/>
        </w:numPr>
      </w:pPr>
      <w:r>
        <w:t xml:space="preserve">Closing and action assignment (10 minutes)</w:t>
      </w:r>
    </w:p>
    <w:bookmarkEnd w:id="34"/>
    <w:bookmarkStart w:id="35" w:name="pre-read-pack-discipline"/>
    <w:p>
      <w:pPr>
        <w:pStyle w:val="Heading3"/>
      </w:pPr>
      <w:r>
        <w:t xml:space="preserve">5.2 Pre-Read Pack Discipline</w:t>
      </w:r>
    </w:p>
    <w:p>
      <w:pPr>
        <w:pStyle w:val="FirstParagraph"/>
      </w:pPr>
      <w:r>
        <w:t xml:space="preserve">All decision items require complete pre-read packs distributed at least seventy-two hours before the meeting. Decision items without complete pre-read packs are removed from the agenda at the Chair's discretion. The pre-read pack for a model approval includes the model card, validation report, bias audit, Sharia approval (where applicable), and the validator's recommendation.</w:t>
      </w:r>
    </w:p>
    <w:bookmarkEnd w:id="35"/>
    <w:bookmarkStart w:id="36" w:name="rotating-strategic-items"/>
    <w:p>
      <w:pPr>
        <w:pStyle w:val="Heading3"/>
      </w:pPr>
      <w:r>
        <w:t xml:space="preserve">5.3 Rotating Strategic Items</w:t>
      </w:r>
    </w:p>
    <w:p>
      <w:pPr>
        <w:pStyle w:val="Compact"/>
        <w:numPr>
          <w:ilvl w:val="0"/>
          <w:numId w:val="1012"/>
        </w:numPr>
      </w:pPr>
      <w:r>
        <w:t xml:space="preserve">Vendor portfolio review (Quarter 1)</w:t>
      </w:r>
    </w:p>
    <w:p>
      <w:pPr>
        <w:pStyle w:val="Compact"/>
        <w:numPr>
          <w:ilvl w:val="0"/>
          <w:numId w:val="1012"/>
        </w:numPr>
      </w:pPr>
      <w:r>
        <w:t xml:space="preserve">Policy review cycle (Quarter 2)</w:t>
      </w:r>
    </w:p>
    <w:p>
      <w:pPr>
        <w:pStyle w:val="Compact"/>
        <w:numPr>
          <w:ilvl w:val="0"/>
          <w:numId w:val="1012"/>
        </w:numPr>
      </w:pPr>
      <w:r>
        <w:t xml:space="preserve">Sharia validation cycle review (Quarter 3, Islamic finance institutions)</w:t>
      </w:r>
    </w:p>
    <w:p>
      <w:pPr>
        <w:pStyle w:val="Compact"/>
        <w:numPr>
          <w:ilvl w:val="0"/>
          <w:numId w:val="1012"/>
        </w:numPr>
      </w:pPr>
      <w:r>
        <w:t xml:space="preserve">Training and capability development review (Quarter 4)</w:t>
      </w:r>
    </w:p>
    <w:p>
      <w:r>
        <w:pict>
          <v:rect style="width:0;height:1.5pt" o:hralign="center" o:hrstd="t" o:hr="t"/>
        </w:pict>
      </w:r>
    </w:p>
    <w:bookmarkEnd w:id="36"/>
    <w:bookmarkEnd w:id="37"/>
    <w:bookmarkStart w:id="43" w:name="article-6-record-keeping"/>
    <w:p>
      <w:pPr>
        <w:pStyle w:val="Heading2"/>
      </w:pPr>
      <w:r>
        <w:t xml:space="preserve">Article 6: Record-Keeping</w:t>
      </w:r>
    </w:p>
    <w:bookmarkStart w:id="38" w:name="secretariat"/>
    <w:p>
      <w:pPr>
        <w:pStyle w:val="Heading3"/>
      </w:pPr>
      <w:r>
        <w:t xml:space="preserve">6.1 Secretariat</w:t>
      </w:r>
    </w:p>
    <w:p>
      <w:pPr>
        <w:pStyle w:val="FirstParagraph"/>
      </w:pPr>
      <w:r>
        <w:t xml:space="preserve">The Head of AI Governance Office designates a Committee Secretary responsible for agenda preparation, minute-taking, action item tracking, and decision register maintenance.</w:t>
      </w:r>
    </w:p>
    <w:bookmarkEnd w:id="38"/>
    <w:bookmarkStart w:id="39" w:name="minutes"/>
    <w:p>
      <w:pPr>
        <w:pStyle w:val="Heading3"/>
      </w:pPr>
      <w:r>
        <w:t xml:space="preserve">6.2 Minutes</w:t>
      </w:r>
    </w:p>
    <w:p>
      <w:pPr>
        <w:pStyle w:val="FirstParagraph"/>
      </w:pPr>
      <w:r>
        <w:t xml:space="preserve">Minutes are drafted within five business days of each meeting and circulated to all attendees for review. Minutes are ratified at the next standing meeting and become the institutional record.</w:t>
      </w:r>
    </w:p>
    <w:bookmarkEnd w:id="39"/>
    <w:bookmarkStart w:id="40" w:name="decision-register"/>
    <w:p>
      <w:pPr>
        <w:pStyle w:val="Heading3"/>
      </w:pPr>
      <w:r>
        <w:t xml:space="preserve">6.3 Decision Register</w:t>
      </w:r>
    </w:p>
    <w:p>
      <w:pPr>
        <w:pStyle w:val="FirstParagraph"/>
      </w:pPr>
      <w:r>
        <w:t xml:space="preserve">The Committee maintains a decision register recording for each decision: date, matter, decision, rationale, voting record (including dissents), accountable owner for implementation, due date, and verification of completion.</w:t>
      </w:r>
    </w:p>
    <w:bookmarkEnd w:id="40"/>
    <w:bookmarkStart w:id="41" w:name="dissent-protocol"/>
    <w:p>
      <w:pPr>
        <w:pStyle w:val="Heading3"/>
      </w:pPr>
      <w:r>
        <w:t xml:space="preserve">6.4 Dissent Protocol</w:t>
      </w:r>
    </w:p>
    <w:p>
      <w:pPr>
        <w:pStyle w:val="FirstParagraph"/>
      </w:pPr>
      <w:r>
        <w:t xml:space="preserve">Members who vote against a decision may require their dissent and rationale recorded in the minutes. Dissent recording cannot be denied by the Chair. Dissents on decisions later reversed are referenced in the reversal record.</w:t>
      </w:r>
    </w:p>
    <w:bookmarkEnd w:id="41"/>
    <w:bookmarkStart w:id="42" w:name="retention"/>
    <w:p>
      <w:pPr>
        <w:pStyle w:val="Heading3"/>
      </w:pPr>
      <w:r>
        <w:t xml:space="preserve">6.5 Retention</w:t>
      </w:r>
    </w:p>
    <w:p>
      <w:pPr>
        <w:pStyle w:val="FirstParagraph"/>
      </w:pPr>
      <w:r>
        <w:t xml:space="preserve">Minutes, pre-read packs, and the decision register are retained for the period the institution's records management policy specifies for governance committee records, with a minimum of ten years and extension where regulatory or litigation hold applies.</w:t>
      </w:r>
    </w:p>
    <w:p>
      <w:r>
        <w:pict>
          <v:rect style="width:0;height:1.5pt" o:hralign="center" o:hrstd="t" o:hr="t"/>
        </w:pict>
      </w:r>
    </w:p>
    <w:bookmarkEnd w:id="42"/>
    <w:bookmarkEnd w:id="43"/>
    <w:bookmarkStart w:id="47" w:name="article-7-review-and-amendment"/>
    <w:p>
      <w:pPr>
        <w:pStyle w:val="Heading2"/>
      </w:pPr>
      <w:r>
        <w:t xml:space="preserve">Article 7: Review and Amendment</w:t>
      </w:r>
    </w:p>
    <w:bookmarkStart w:id="44" w:name="annual-charter-review"/>
    <w:p>
      <w:pPr>
        <w:pStyle w:val="Heading3"/>
      </w:pPr>
      <w:r>
        <w:t xml:space="preserve">7.1 Annual Charter Review</w:t>
      </w:r>
    </w:p>
    <w:p>
      <w:pPr>
        <w:pStyle w:val="FirstParagraph"/>
      </w:pPr>
      <w:r>
        <w:t xml:space="preserve">The Committee reviews this charter annually. The review assesses:</w:t>
      </w:r>
    </w:p>
    <w:p>
      <w:pPr>
        <w:pStyle w:val="Compact"/>
        <w:numPr>
          <w:ilvl w:val="0"/>
          <w:numId w:val="1013"/>
        </w:numPr>
      </w:pPr>
      <w:r>
        <w:t xml:space="preserve">Whether the scope of authority remains current</w:t>
      </w:r>
    </w:p>
    <w:p>
      <w:pPr>
        <w:pStyle w:val="Compact"/>
        <w:numPr>
          <w:ilvl w:val="0"/>
          <w:numId w:val="1013"/>
        </w:numPr>
      </w:pPr>
      <w:r>
        <w:t xml:space="preserve">Whether the composition remains appropriate</w:t>
      </w:r>
    </w:p>
    <w:p>
      <w:pPr>
        <w:pStyle w:val="Compact"/>
        <w:numPr>
          <w:ilvl w:val="0"/>
          <w:numId w:val="1013"/>
        </w:numPr>
      </w:pPr>
      <w:r>
        <w:t xml:space="preserve">Whether the decision rights remain calibrated to institutional risk</w:t>
      </w:r>
    </w:p>
    <w:p>
      <w:pPr>
        <w:pStyle w:val="Compact"/>
        <w:numPr>
          <w:ilvl w:val="0"/>
          <w:numId w:val="1013"/>
        </w:numPr>
      </w:pPr>
      <w:r>
        <w:t xml:space="preserve">Whether the operating cadence remains operable</w:t>
      </w:r>
    </w:p>
    <w:p>
      <w:pPr>
        <w:pStyle w:val="Compact"/>
        <w:numPr>
          <w:ilvl w:val="0"/>
          <w:numId w:val="1013"/>
        </w:numPr>
      </w:pPr>
      <w:r>
        <w:t xml:space="preserve">Whether the agenda architecture remains effective</w:t>
      </w:r>
    </w:p>
    <w:bookmarkEnd w:id="44"/>
    <w:bookmarkStart w:id="45" w:name="amendment-protocol"/>
    <w:p>
      <w:pPr>
        <w:pStyle w:val="Heading3"/>
      </w:pPr>
      <w:r>
        <w:t xml:space="preserve">7.2 Amendment Protocol</w:t>
      </w:r>
    </w:p>
    <w:p>
      <w:pPr>
        <w:pStyle w:val="FirstParagraph"/>
      </w:pPr>
      <w:r>
        <w:t xml:space="preserve">Amendments are proposed by the Chair following the annual review and ratified by the Board Risk Committee. Amendments take effect at the meeting following ratification.</w:t>
      </w:r>
    </w:p>
    <w:bookmarkEnd w:id="45"/>
    <w:bookmarkStart w:id="46" w:name="committee-effectiveness-assessment"/>
    <w:p>
      <w:pPr>
        <w:pStyle w:val="Heading3"/>
      </w:pPr>
      <w:r>
        <w:t xml:space="preserve">7.3 Committee Effectiveness Assessment</w:t>
      </w:r>
    </w:p>
    <w:p>
      <w:pPr>
        <w:pStyle w:val="FirstParagraph"/>
      </w:pPr>
      <w:r>
        <w:t xml:space="preserve">The Committee conducts an annual self-assessment of its effectiveness, with results reported to the Board Risk Committee. An external effectiveness review is conducted biennially.</w:t>
      </w:r>
    </w:p>
    <w:p>
      <w:r>
        <w:pict>
          <v:rect style="width:0;height:1.5pt" o:hralign="center" o:hrstd="t" o:hr="t"/>
        </w:pict>
      </w:r>
    </w:p>
    <w:bookmarkEnd w:id="46"/>
    <w:bookmarkEnd w:id="47"/>
    <w:bookmarkStart w:id="48" w:name="article-8-signature-block"/>
    <w:p>
      <w:pPr>
        <w:pStyle w:val="Heading2"/>
      </w:pPr>
      <w:r>
        <w:t xml:space="preserve">Article 8: Signature Block</w:t>
      </w:r>
    </w:p>
    <w:p>
      <w:pPr>
        <w:pStyle w:val="FirstParagraph"/>
      </w:pPr>
      <w:r>
        <w:t xml:space="preserve">This charter is ratified by the Board Risk Committee on the date below and takes effect immediately upon ratification.</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Role</w:t>
            </w:r>
          </w:p>
        </w:tc>
        <w:tc>
          <w:tcPr/>
          <w:p>
            <w:pPr>
              <w:pStyle w:val="Compact"/>
            </w:pPr>
            <w:r>
              <w:t xml:space="preserve">Name</w:t>
            </w:r>
          </w:p>
        </w:tc>
        <w:tc>
          <w:tcPr/>
          <w:p>
            <w:pPr>
              <w:pStyle w:val="Compact"/>
            </w:pPr>
            <w:r>
              <w:t xml:space="preserve">Signature</w:t>
            </w:r>
          </w:p>
        </w:tc>
        <w:tc>
          <w:tcPr/>
          <w:p>
            <w:pPr>
              <w:pStyle w:val="Compact"/>
            </w:pPr>
            <w:r>
              <w:t xml:space="preserve">Date</w:t>
            </w:r>
          </w:p>
        </w:tc>
      </w:tr>
      <w:tr>
        <w:tc>
          <w:tcPr/>
          <w:p>
            <w:pPr>
              <w:pStyle w:val="Compact"/>
            </w:pPr>
            <w:r>
              <w:t xml:space="preserve">Chair, Board Risk Committee</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Chair, AI Governance Committee</w:t>
            </w:r>
          </w:p>
        </w:tc>
        <w:tc>
          <w:tcPr/>
          <w:p>
            <w:pPr>
              <w:pStyle w:val="Compact"/>
            </w:pPr>
            <w:r>
              <w:t xml:space="preserve">[Name]</w:t>
            </w:r>
          </w:p>
        </w:tc>
        <w:tc>
          <w:tcPr/>
          <w:p>
            <w:pPr>
              <w:pStyle w:val="Compact"/>
            </w:pPr>
            <w:r>
              <w:t xml:space="preserve">_____________</w:t>
            </w:r>
          </w:p>
        </w:tc>
        <w:tc>
          <w:tcPr/>
          <w:p>
            <w:pPr>
              <w:pStyle w:val="Compact"/>
            </w:pPr>
            <w:r>
              <w:t xml:space="preserve">_________</w:t>
            </w:r>
          </w:p>
        </w:tc>
      </w:tr>
      <w:tr>
        <w:tc>
          <w:tcPr/>
          <w:p>
            <w:pPr>
              <w:pStyle w:val="Compact"/>
            </w:pPr>
            <w:r>
              <w:t xml:space="preserve">Company Secretary</w:t>
            </w:r>
          </w:p>
        </w:tc>
        <w:tc>
          <w:tcPr/>
          <w:p>
            <w:pPr>
              <w:pStyle w:val="Compact"/>
            </w:pPr>
            <w:r>
              <w:t xml:space="preserve">[Name]</w:t>
            </w:r>
          </w:p>
        </w:tc>
        <w:tc>
          <w:tcPr/>
          <w:p>
            <w:pPr>
              <w:pStyle w:val="Compact"/>
            </w:pPr>
            <w:r>
              <w:t xml:space="preserve">_____________</w:t>
            </w:r>
          </w:p>
        </w:tc>
        <w:tc>
          <w:tcPr/>
          <w:p>
            <w:pPr>
              <w:pStyle w:val="Compact"/>
            </w:pPr>
            <w:r>
              <w:t xml:space="preserve">_________</w:t>
            </w:r>
          </w:p>
        </w:tc>
      </w:tr>
    </w:tbl>
    <w:p>
      <w:pPr>
        <w:pStyle w:val="BodyText"/>
      </w:pPr>
      <w:r>
        <w:rPr>
          <w:b/>
          <w:bCs/>
        </w:rPr>
        <w:t xml:space="preserve">End of Charter Template.</w:t>
      </w:r>
    </w:p>
    <w:p>
      <w:pPr>
        <w:pStyle w:val="BodyText"/>
      </w:pPr>
      <w:r>
        <w:rPr>
          <w:b/>
          <w:bCs/>
        </w:rPr>
        <w:t xml:space="preserve">Usage Notes</w:t>
      </w:r>
      <w:r>
        <w:t xml:space="preserve">: Charter length should not exceed eight pages when populated against the institution's reality. The decision rights section is the load-bearing element. If the decision rights are vague, the Committee will discover its boundaries by colliding with the boundaries of other committees, which is the most expensive way to discover them.</w:t>
      </w:r>
    </w:p>
    <w:p>
      <w:r>
        <w:pict>
          <v:rect style="width:0;height:1.5pt" o:hralign="center" o:hrstd="t" o:hr="t"/>
        </w:pict>
      </w:r>
    </w:p>
    <w:bookmarkEnd w:id="48"/>
    <w:bookmarkEnd w:id="4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1"/>
  </w:num>
  <w:num w:numId="101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2026-08-23T00:18:30Z</dcterms:created>
  <dcterms:modified xsi:type="dcterms:W3CDTF">2026-08-23T00:18:30Z</dcterms:modified>
</cp:coreProperties>
</file>

<file path=docProps/custom.xml><?xml version="1.0" encoding="utf-8"?>
<Properties xmlns="http://schemas.openxmlformats.org/officeDocument/2006/custom-properties" xmlns:vt="http://schemas.openxmlformats.org/officeDocument/2006/docPropsVTypes"/>
</file>